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6DDC7" w14:textId="2E18FF00" w:rsidR="001F1822" w:rsidRPr="00FB3B0B" w:rsidRDefault="00AA38B1" w:rsidP="00722EAA">
      <w:pPr>
        <w:jc w:val="both"/>
        <w:rPr>
          <w:rFonts w:ascii="Arial" w:hAnsi="Arial" w:cs="Arial"/>
          <w:b/>
          <w:color w:val="000000" w:themeColor="text1"/>
          <w:sz w:val="20"/>
        </w:rPr>
      </w:pPr>
      <w:bookmarkStart w:id="0" w:name="_Toc189378634"/>
      <w:bookmarkStart w:id="1" w:name="_Toc188770057"/>
      <w:r>
        <w:rPr>
          <w:rFonts w:ascii="Arial" w:hAnsi="Arial" w:cs="Arial"/>
          <w:b/>
          <w:noProof/>
          <w:color w:val="000000" w:themeColor="text1"/>
          <w:sz w:val="20"/>
        </w:rPr>
        <w:drawing>
          <wp:inline distT="0" distB="0" distL="0" distR="0" wp14:anchorId="2E7C99FC" wp14:editId="27D83FEC">
            <wp:extent cx="6924040" cy="12763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24040" cy="1276350"/>
                    </a:xfrm>
                    <a:prstGeom prst="rect">
                      <a:avLst/>
                    </a:prstGeom>
                    <a:noFill/>
                  </pic:spPr>
                </pic:pic>
              </a:graphicData>
            </a:graphic>
          </wp:inline>
        </w:drawing>
      </w:r>
    </w:p>
    <w:p w14:paraId="5A0722B0" w14:textId="5B3D15F1" w:rsidR="001F1822" w:rsidRPr="00FB3B0B" w:rsidRDefault="001F1822" w:rsidP="00722EAA">
      <w:pPr>
        <w:jc w:val="both"/>
        <w:rPr>
          <w:rFonts w:ascii="Arial" w:hAnsi="Arial" w:cs="Arial"/>
          <w:b/>
          <w:color w:val="000000" w:themeColor="text1"/>
          <w:sz w:val="20"/>
        </w:rPr>
      </w:pPr>
    </w:p>
    <w:p w14:paraId="15D229B4" w14:textId="77777777" w:rsidR="00FA5C37" w:rsidRDefault="00FA5C37" w:rsidP="00722EAA">
      <w:pPr>
        <w:jc w:val="both"/>
        <w:rPr>
          <w:rFonts w:ascii="Arial" w:hAnsi="Arial" w:cs="Arial"/>
          <w:b/>
          <w:color w:val="000000" w:themeColor="text1"/>
          <w:sz w:val="20"/>
        </w:rPr>
      </w:pPr>
    </w:p>
    <w:p w14:paraId="5ECA9C77" w14:textId="6B4D76C4" w:rsidR="001F1822" w:rsidRPr="00FB3B0B" w:rsidRDefault="00AA38B1" w:rsidP="00722EAA">
      <w:pPr>
        <w:jc w:val="both"/>
        <w:rPr>
          <w:rFonts w:ascii="Arial" w:hAnsi="Arial" w:cs="Arial"/>
          <w:b/>
          <w:color w:val="000000" w:themeColor="text1"/>
          <w:sz w:val="20"/>
        </w:rPr>
      </w:pPr>
      <w:r w:rsidRPr="00FB3B0B">
        <w:rPr>
          <w:rFonts w:ascii="Arial" w:hAnsi="Arial" w:cs="Arial"/>
          <w:b/>
          <w:noProof/>
          <w:color w:val="000000" w:themeColor="text1"/>
          <w:sz w:val="20"/>
        </w:rPr>
        <mc:AlternateContent>
          <mc:Choice Requires="wps">
            <w:drawing>
              <wp:anchor distT="0" distB="0" distL="114300" distR="114300" simplePos="0" relativeHeight="251658240" behindDoc="0" locked="0" layoutInCell="1" allowOverlap="1" wp14:anchorId="3F1D6CD8" wp14:editId="0EDB3CD1">
                <wp:simplePos x="0" y="0"/>
                <wp:positionH relativeFrom="margin">
                  <wp:align>right</wp:align>
                </wp:positionH>
                <wp:positionV relativeFrom="paragraph">
                  <wp:posOffset>123872</wp:posOffset>
                </wp:positionV>
                <wp:extent cx="6100549" cy="2433711"/>
                <wp:effectExtent l="0" t="0" r="1460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549" cy="2433711"/>
                        </a:xfrm>
                        <a:prstGeom prst="rect">
                          <a:avLst/>
                        </a:prstGeom>
                        <a:solidFill>
                          <a:srgbClr val="FFFFFF"/>
                        </a:solidFill>
                        <a:ln w="9525">
                          <a:solidFill>
                            <a:srgbClr val="000000"/>
                          </a:solidFill>
                          <a:miter lim="800000"/>
                          <a:headEnd/>
                          <a:tailEnd/>
                        </a:ln>
                      </wps:spPr>
                      <wps:txbx>
                        <w:txbxContent>
                          <w:p w14:paraId="09F846E4" w14:textId="77777777" w:rsidR="005317B4" w:rsidRPr="00200639" w:rsidRDefault="005317B4" w:rsidP="006970C4">
                            <w:pPr>
                              <w:ind w:right="131"/>
                              <w:jc w:val="center"/>
                              <w:rPr>
                                <w:rFonts w:ascii="Arial" w:hAnsi="Arial" w:cs="Arial"/>
                                <w:sz w:val="36"/>
                                <w:szCs w:val="36"/>
                              </w:rPr>
                            </w:pPr>
                          </w:p>
                          <w:p w14:paraId="14C45021" w14:textId="77777777" w:rsidR="005317B4" w:rsidRPr="00FA5C37" w:rsidRDefault="005317B4" w:rsidP="006970C4">
                            <w:pPr>
                              <w:ind w:right="131"/>
                              <w:jc w:val="center"/>
                              <w:rPr>
                                <w:rFonts w:ascii="Arial" w:hAnsi="Arial" w:cs="Arial"/>
                                <w:bCs/>
                                <w:sz w:val="36"/>
                                <w:szCs w:val="36"/>
                              </w:rPr>
                            </w:pPr>
                            <w:r w:rsidRPr="00FA5C37">
                              <w:rPr>
                                <w:rFonts w:ascii="Arial" w:hAnsi="Arial" w:cs="Arial"/>
                                <w:bCs/>
                                <w:sz w:val="36"/>
                                <w:szCs w:val="36"/>
                              </w:rPr>
                              <w:t>ACCORD-CADRE</w:t>
                            </w:r>
                          </w:p>
                          <w:p w14:paraId="7C832489" w14:textId="50A9ABF3" w:rsidR="005317B4" w:rsidRPr="00FA5C37" w:rsidRDefault="005317B4" w:rsidP="006970C4">
                            <w:pPr>
                              <w:ind w:right="131"/>
                              <w:jc w:val="center"/>
                              <w:rPr>
                                <w:rFonts w:ascii="Arial" w:hAnsi="Arial" w:cs="Arial"/>
                                <w:bCs/>
                                <w:sz w:val="36"/>
                                <w:szCs w:val="36"/>
                              </w:rPr>
                            </w:pPr>
                            <w:r w:rsidRPr="00FA5C37">
                              <w:rPr>
                                <w:rFonts w:ascii="Arial" w:hAnsi="Arial" w:cs="Arial"/>
                                <w:bCs/>
                                <w:sz w:val="36"/>
                                <w:szCs w:val="36"/>
                              </w:rPr>
                              <w:t>ACQUISITION D’INSTRUMENTATION SCIENTIFIQUE</w:t>
                            </w:r>
                          </w:p>
                          <w:p w14:paraId="4E1DA377" w14:textId="1A0B1B54" w:rsidR="005317B4" w:rsidRPr="00FA5C37" w:rsidRDefault="005317B4" w:rsidP="006970C4">
                            <w:pPr>
                              <w:ind w:right="131"/>
                              <w:jc w:val="center"/>
                              <w:rPr>
                                <w:rFonts w:ascii="Arial" w:hAnsi="Arial" w:cs="Arial"/>
                                <w:b/>
                                <w:bCs/>
                                <w:sz w:val="36"/>
                                <w:szCs w:val="36"/>
                              </w:rPr>
                            </w:pPr>
                          </w:p>
                          <w:p w14:paraId="389B696A" w14:textId="04D9CB54" w:rsidR="005317B4" w:rsidRPr="00FA5C37" w:rsidRDefault="005317B4" w:rsidP="00BC366A">
                            <w:pPr>
                              <w:jc w:val="center"/>
                              <w:rPr>
                                <w:rFonts w:ascii="Arial" w:hAnsi="Arial" w:cs="Arial"/>
                                <w:b/>
                                <w:color w:val="000000" w:themeColor="text1"/>
                                <w:sz w:val="36"/>
                                <w:szCs w:val="36"/>
                                <w:highlight w:val="green"/>
                              </w:rPr>
                            </w:pPr>
                            <w:r w:rsidRPr="00FA5C37">
                              <w:rPr>
                                <w:rFonts w:ascii="Arial" w:hAnsi="Arial" w:cs="Arial"/>
                                <w:bCs/>
                                <w:sz w:val="36"/>
                                <w:szCs w:val="36"/>
                              </w:rPr>
                              <w:t>Lot n°</w:t>
                            </w:r>
                            <w:sdt>
                              <w:sdtPr>
                                <w:rPr>
                                  <w:rStyle w:val="Style3"/>
                                </w:rPr>
                                <w:id w:val="-580055875"/>
                                <w:placeholder>
                                  <w:docPart w:val="A5A3AD9688E148FEBA022599436146E1"/>
                                </w:placeholder>
                                <w15:color w:val="00FF00"/>
                                <w:comboBox>
                                  <w:listItem w:value="Choisissez un élément."/>
                                  <w:listItem w:displayText="1 : Systèmes avancés d’imagerie photonique à haut débit et haut contenu" w:value="1 : Systèmes avancés d’imagerie photonique à haut débit et haut contenu"/>
                                  <w:listItem w:displayText="2 : Systèmes de microscopie et spectroscopie électronique et ionique" w:value="2 : Systèmes de microscopie et spectroscopie électronique et ionique"/>
                                  <w:listItem w:displayText="3 : Systèmes avancés d’imagerie en champ proche" w:value="3 : Systèmes avancés d’imagerie en champ proche"/>
                                  <w:listItem w:displayText="4 : Systèmes Raman y compris couplés à la microscopie" w:value="4 : Systèmes Raman y compris couplés à la microscopie"/>
                                  <w:listItem w:displayText="5 : Systèmes à rayons X, scanners et systèmes d’imagerie nucléaire" w:value="5 : Systèmes à rayons X, scanners et systèmes d’imagerie nucléaire"/>
                                  <w:listItem w:displayText="6 : Spectrométrie RMN, Imagerie IRM" w:value="6 : Spectrométrie RMN, Imagerie IRM"/>
                                  <w:listItem w:displayText="7 : Spectrométrie RPE" w:value="7 : Spectrométrie RPE"/>
                                  <w:listItem w:displayText="8 : Spectrométrie de masse haute résolution avec ou sans couplage" w:value="8 : Spectrométrie de masse haute résolution avec ou sans couplage"/>
                                  <w:listItem w:displayText="9 : Systèmes lasers" w:value="9 : Systèmes lasers"/>
                                  <w:listItem w:displayText="10 : Stations d'analyse et/ou de tri par cytométrie de flux" w:value="10 : Stations d'analyse et/ou de tri par cytométrie de flux"/>
                                  <w:listItem w:displayText="11 : Systèmes de séquençage génétique à haut débit nouvelle génération (NGS)" w:value="11 : Systèmes de séquençage génétique à haut débit nouvelle génération (NGS)"/>
                                </w:comboBox>
                              </w:sdtPr>
                              <w:sdtEndPr>
                                <w:rPr>
                                  <w:rStyle w:val="Policepardfaut"/>
                                  <w:rFonts w:ascii="CG Times" w:hAnsi="CG Times" w:cs="Arial"/>
                                  <w:bCs/>
                                  <w:sz w:val="24"/>
                                  <w:szCs w:val="36"/>
                                </w:rPr>
                              </w:sdtEndPr>
                              <w:sdtContent>
                                <w:r w:rsidR="00640C6A">
                                  <w:rPr>
                                    <w:rStyle w:val="Style3"/>
                                  </w:rPr>
                                  <w:t xml:space="preserve">10 : Stations d'analyse et/ou de tri par </w:t>
                                </w:r>
                                <w:proofErr w:type="spellStart"/>
                                <w:r w:rsidR="00640C6A">
                                  <w:rPr>
                                    <w:rStyle w:val="Style3"/>
                                  </w:rPr>
                                  <w:t>cytométrie</w:t>
                                </w:r>
                                <w:proofErr w:type="spellEnd"/>
                                <w:r w:rsidR="00640C6A">
                                  <w:rPr>
                                    <w:rStyle w:val="Style3"/>
                                  </w:rPr>
                                  <w:t xml:space="preserve"> de flux</w:t>
                                </w:r>
                              </w:sdtContent>
                            </w:sdt>
                          </w:p>
                          <w:p w14:paraId="37241672" w14:textId="77777777" w:rsidR="005317B4" w:rsidRPr="00FA5C37" w:rsidRDefault="005317B4" w:rsidP="006970C4">
                            <w:pPr>
                              <w:ind w:right="131"/>
                              <w:jc w:val="center"/>
                              <w:rPr>
                                <w:rFonts w:ascii="Arial" w:hAnsi="Arial" w:cs="Arial"/>
                                <w:b/>
                                <w:bCs/>
                                <w:sz w:val="36"/>
                                <w:szCs w:val="36"/>
                              </w:rPr>
                            </w:pPr>
                          </w:p>
                          <w:p w14:paraId="3E024516" w14:textId="4321ED3A" w:rsidR="005317B4" w:rsidRDefault="00A534BD" w:rsidP="006970C4">
                            <w:pPr>
                              <w:ind w:right="131"/>
                              <w:jc w:val="center"/>
                              <w:rPr>
                                <w:rFonts w:ascii="Arial" w:hAnsi="Arial" w:cs="Arial"/>
                                <w:b/>
                                <w:bCs/>
                                <w:sz w:val="36"/>
                                <w:szCs w:val="36"/>
                              </w:rPr>
                            </w:pPr>
                            <w:r w:rsidRPr="00A534BD">
                              <w:rPr>
                                <w:rFonts w:ascii="Arial" w:hAnsi="Arial" w:cs="Arial"/>
                                <w:b/>
                                <w:bCs/>
                                <w:sz w:val="36"/>
                                <w:szCs w:val="36"/>
                              </w:rPr>
                              <w:t xml:space="preserve">Annexe </w:t>
                            </w:r>
                            <w:r w:rsidR="00952C2B">
                              <w:rPr>
                                <w:rFonts w:ascii="Arial" w:hAnsi="Arial" w:cs="Arial"/>
                                <w:b/>
                                <w:bCs/>
                                <w:sz w:val="36"/>
                                <w:szCs w:val="36"/>
                              </w:rPr>
                              <w:t xml:space="preserve">technique </w:t>
                            </w:r>
                            <w:r w:rsidRPr="00A534BD">
                              <w:rPr>
                                <w:rFonts w:ascii="Arial" w:hAnsi="Arial" w:cs="Arial"/>
                                <w:b/>
                                <w:bCs/>
                                <w:sz w:val="36"/>
                                <w:szCs w:val="36"/>
                              </w:rPr>
                              <w:t>au CST – cahier des clauses techniques particulières</w:t>
                            </w:r>
                          </w:p>
                          <w:p w14:paraId="25857EE6" w14:textId="77777777" w:rsidR="005317B4" w:rsidRDefault="005317B4" w:rsidP="006970C4">
                            <w:pPr>
                              <w:ind w:right="131"/>
                              <w:jc w:val="center"/>
                              <w:rPr>
                                <w:rFonts w:ascii="Arial" w:hAnsi="Arial" w:cs="Arial"/>
                                <w:b/>
                                <w:bCs/>
                                <w:sz w:val="36"/>
                                <w:szCs w:val="36"/>
                              </w:rPr>
                            </w:pPr>
                          </w:p>
                          <w:p w14:paraId="2C4FE5EA" w14:textId="77777777" w:rsidR="005317B4" w:rsidRPr="006C70BB" w:rsidRDefault="005317B4" w:rsidP="006970C4">
                            <w:pPr>
                              <w:ind w:right="131"/>
                              <w:jc w:val="center"/>
                              <w:rPr>
                                <w:rFonts w:ascii="Arial" w:hAnsi="Arial" w:cs="Arial"/>
                                <w:b/>
                                <w:bCs/>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D6CD8" id="_x0000_t202" coordsize="21600,21600" o:spt="202" path="m,l,21600r21600,l21600,xe">
                <v:stroke joinstyle="miter"/>
                <v:path gradientshapeok="t" o:connecttype="rect"/>
              </v:shapetype>
              <v:shape id="Text Box 2" o:spid="_x0000_s1026" type="#_x0000_t202" style="position:absolute;left:0;text-align:left;margin-left:429.15pt;margin-top:9.75pt;width:480.35pt;height:191.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">
                <v:textbox>
                  <w:txbxContent>
                    <w:p w14:paraId="09F846E4" w14:textId="77777777" w:rsidR="005317B4" w:rsidRPr="00200639" w:rsidRDefault="005317B4" w:rsidP="006970C4">
                      <w:pPr>
                        <w:ind w:right="131"/>
                        <w:jc w:val="center"/>
                        <w:rPr>
                          <w:rFonts w:ascii="Arial" w:hAnsi="Arial" w:cs="Arial"/>
                          <w:sz w:val="36"/>
                          <w:szCs w:val="36"/>
                        </w:rPr>
                      </w:pPr>
                    </w:p>
                    <w:p w14:paraId="14C45021" w14:textId="77777777" w:rsidR="005317B4" w:rsidRPr="00FA5C37" w:rsidRDefault="005317B4" w:rsidP="006970C4">
                      <w:pPr>
                        <w:ind w:right="131"/>
                        <w:jc w:val="center"/>
                        <w:rPr>
                          <w:rFonts w:ascii="Arial" w:hAnsi="Arial" w:cs="Arial"/>
                          <w:bCs/>
                          <w:sz w:val="36"/>
                          <w:szCs w:val="36"/>
                        </w:rPr>
                      </w:pPr>
                      <w:r w:rsidRPr="00FA5C37">
                        <w:rPr>
                          <w:rFonts w:ascii="Arial" w:hAnsi="Arial" w:cs="Arial"/>
                          <w:bCs/>
                          <w:sz w:val="36"/>
                          <w:szCs w:val="36"/>
                        </w:rPr>
                        <w:t>ACCORD-CADRE</w:t>
                      </w:r>
                    </w:p>
                    <w:p w14:paraId="7C832489" w14:textId="50A9ABF3" w:rsidR="005317B4" w:rsidRPr="00FA5C37" w:rsidRDefault="005317B4" w:rsidP="006970C4">
                      <w:pPr>
                        <w:ind w:right="131"/>
                        <w:jc w:val="center"/>
                        <w:rPr>
                          <w:rFonts w:ascii="Arial" w:hAnsi="Arial" w:cs="Arial"/>
                          <w:bCs/>
                          <w:sz w:val="36"/>
                          <w:szCs w:val="36"/>
                        </w:rPr>
                      </w:pPr>
                      <w:r w:rsidRPr="00FA5C37">
                        <w:rPr>
                          <w:rFonts w:ascii="Arial" w:hAnsi="Arial" w:cs="Arial"/>
                          <w:bCs/>
                          <w:sz w:val="36"/>
                          <w:szCs w:val="36"/>
                        </w:rPr>
                        <w:t>ACQUISITION D’INSTRUMENTATION SCIENTIFIQUE</w:t>
                      </w:r>
                    </w:p>
                    <w:p w14:paraId="4E1DA377" w14:textId="1A0B1B54" w:rsidR="005317B4" w:rsidRPr="00FA5C37" w:rsidRDefault="005317B4" w:rsidP="006970C4">
                      <w:pPr>
                        <w:ind w:right="131"/>
                        <w:jc w:val="center"/>
                        <w:rPr>
                          <w:rFonts w:ascii="Arial" w:hAnsi="Arial" w:cs="Arial"/>
                          <w:b/>
                          <w:bCs/>
                          <w:sz w:val="36"/>
                          <w:szCs w:val="36"/>
                        </w:rPr>
                      </w:pPr>
                    </w:p>
                    <w:p w14:paraId="389B696A" w14:textId="04D9CB54" w:rsidR="005317B4" w:rsidRPr="00FA5C37" w:rsidRDefault="005317B4" w:rsidP="00BC366A">
                      <w:pPr>
                        <w:jc w:val="center"/>
                        <w:rPr>
                          <w:rFonts w:ascii="Arial" w:hAnsi="Arial" w:cs="Arial"/>
                          <w:b/>
                          <w:color w:val="000000" w:themeColor="text1"/>
                          <w:sz w:val="36"/>
                          <w:szCs w:val="36"/>
                          <w:highlight w:val="green"/>
                        </w:rPr>
                      </w:pPr>
                      <w:r w:rsidRPr="00FA5C37">
                        <w:rPr>
                          <w:rFonts w:ascii="Arial" w:hAnsi="Arial" w:cs="Arial"/>
                          <w:bCs/>
                          <w:sz w:val="36"/>
                          <w:szCs w:val="36"/>
                        </w:rPr>
                        <w:t>Lot n°</w:t>
                      </w:r>
                      <w:sdt>
                        <w:sdtPr>
                          <w:rPr>
                            <w:rStyle w:val="Style3"/>
                          </w:rPr>
                          <w:id w:val="-580055875"/>
                          <w:placeholder>
                            <w:docPart w:val="A5A3AD9688E148FEBA022599436146E1"/>
                          </w:placeholder>
                          <w15:color w:val="00FF00"/>
                          <w:comboBox>
                            <w:listItem w:value="Choisissez un élément."/>
                            <w:listItem w:displayText="1 : Systèmes avancés d’imagerie photonique à haut débit et haut contenu" w:value="1 : Systèmes avancés d’imagerie photonique à haut débit et haut contenu"/>
                            <w:listItem w:displayText="2 : Systèmes de microscopie et spectroscopie électronique et ionique" w:value="2 : Systèmes de microscopie et spectroscopie électronique et ionique"/>
                            <w:listItem w:displayText="3 : Systèmes avancés d’imagerie en champ proche" w:value="3 : Systèmes avancés d’imagerie en champ proche"/>
                            <w:listItem w:displayText="4 : Systèmes Raman y compris couplés à la microscopie" w:value="4 : Systèmes Raman y compris couplés à la microscopie"/>
                            <w:listItem w:displayText="5 : Systèmes à rayons X, scanners et systèmes d’imagerie nucléaire" w:value="5 : Systèmes à rayons X, scanners et systèmes d’imagerie nucléaire"/>
                            <w:listItem w:displayText="6 : Spectrométrie RMN, Imagerie IRM" w:value="6 : Spectrométrie RMN, Imagerie IRM"/>
                            <w:listItem w:displayText="7 : Spectrométrie RPE" w:value="7 : Spectrométrie RPE"/>
                            <w:listItem w:displayText="8 : Spectrométrie de masse haute résolution avec ou sans couplage" w:value="8 : Spectrométrie de masse haute résolution avec ou sans couplage"/>
                            <w:listItem w:displayText="9 : Systèmes lasers" w:value="9 : Systèmes lasers"/>
                            <w:listItem w:displayText="10 : Stations d'analyse et/ou de tri par cytométrie de flux" w:value="10 : Stations d'analyse et/ou de tri par cytométrie de flux"/>
                            <w:listItem w:displayText="11 : Systèmes de séquençage génétique à haut débit nouvelle génération (NGS)" w:value="11 : Systèmes de séquençage génétique à haut débit nouvelle génération (NGS)"/>
                          </w:comboBox>
                        </w:sdtPr>
                        <w:sdtEndPr>
                          <w:rPr>
                            <w:rStyle w:val="Policepardfaut"/>
                            <w:rFonts w:ascii="CG Times" w:hAnsi="CG Times" w:cs="Arial"/>
                            <w:bCs/>
                            <w:sz w:val="24"/>
                            <w:szCs w:val="36"/>
                          </w:rPr>
                        </w:sdtEndPr>
                        <w:sdtContent>
                          <w:r w:rsidR="00640C6A">
                            <w:rPr>
                              <w:rStyle w:val="Style3"/>
                            </w:rPr>
                            <w:t xml:space="preserve">10 : Stations d'analyse et/ou de tri par </w:t>
                          </w:r>
                          <w:proofErr w:type="spellStart"/>
                          <w:r w:rsidR="00640C6A">
                            <w:rPr>
                              <w:rStyle w:val="Style3"/>
                            </w:rPr>
                            <w:t>cytométrie</w:t>
                          </w:r>
                          <w:proofErr w:type="spellEnd"/>
                          <w:r w:rsidR="00640C6A">
                            <w:rPr>
                              <w:rStyle w:val="Style3"/>
                            </w:rPr>
                            <w:t xml:space="preserve"> de flux</w:t>
                          </w:r>
                        </w:sdtContent>
                      </w:sdt>
                    </w:p>
                    <w:p w14:paraId="37241672" w14:textId="77777777" w:rsidR="005317B4" w:rsidRPr="00FA5C37" w:rsidRDefault="005317B4" w:rsidP="006970C4">
                      <w:pPr>
                        <w:ind w:right="131"/>
                        <w:jc w:val="center"/>
                        <w:rPr>
                          <w:rFonts w:ascii="Arial" w:hAnsi="Arial" w:cs="Arial"/>
                          <w:b/>
                          <w:bCs/>
                          <w:sz w:val="36"/>
                          <w:szCs w:val="36"/>
                        </w:rPr>
                      </w:pPr>
                    </w:p>
                    <w:p w14:paraId="3E024516" w14:textId="4321ED3A" w:rsidR="005317B4" w:rsidRDefault="00A534BD" w:rsidP="006970C4">
                      <w:pPr>
                        <w:ind w:right="131"/>
                        <w:jc w:val="center"/>
                        <w:rPr>
                          <w:rFonts w:ascii="Arial" w:hAnsi="Arial" w:cs="Arial"/>
                          <w:b/>
                          <w:bCs/>
                          <w:sz w:val="36"/>
                          <w:szCs w:val="36"/>
                        </w:rPr>
                      </w:pPr>
                      <w:r w:rsidRPr="00A534BD">
                        <w:rPr>
                          <w:rFonts w:ascii="Arial" w:hAnsi="Arial" w:cs="Arial"/>
                          <w:b/>
                          <w:bCs/>
                          <w:sz w:val="36"/>
                          <w:szCs w:val="36"/>
                        </w:rPr>
                        <w:t xml:space="preserve">Annexe </w:t>
                      </w:r>
                      <w:r w:rsidR="00952C2B">
                        <w:rPr>
                          <w:rFonts w:ascii="Arial" w:hAnsi="Arial" w:cs="Arial"/>
                          <w:b/>
                          <w:bCs/>
                          <w:sz w:val="36"/>
                          <w:szCs w:val="36"/>
                        </w:rPr>
                        <w:t xml:space="preserve">technique </w:t>
                      </w:r>
                      <w:r w:rsidRPr="00A534BD">
                        <w:rPr>
                          <w:rFonts w:ascii="Arial" w:hAnsi="Arial" w:cs="Arial"/>
                          <w:b/>
                          <w:bCs/>
                          <w:sz w:val="36"/>
                          <w:szCs w:val="36"/>
                        </w:rPr>
                        <w:t>au CST – cahier des clauses techniques particulières</w:t>
                      </w:r>
                    </w:p>
                    <w:p w14:paraId="25857EE6" w14:textId="77777777" w:rsidR="005317B4" w:rsidRDefault="005317B4" w:rsidP="006970C4">
                      <w:pPr>
                        <w:ind w:right="131"/>
                        <w:jc w:val="center"/>
                        <w:rPr>
                          <w:rFonts w:ascii="Arial" w:hAnsi="Arial" w:cs="Arial"/>
                          <w:b/>
                          <w:bCs/>
                          <w:sz w:val="36"/>
                          <w:szCs w:val="36"/>
                        </w:rPr>
                      </w:pPr>
                    </w:p>
                    <w:p w14:paraId="2C4FE5EA" w14:textId="77777777" w:rsidR="005317B4" w:rsidRPr="006C70BB" w:rsidRDefault="005317B4" w:rsidP="006970C4">
                      <w:pPr>
                        <w:ind w:right="131"/>
                        <w:jc w:val="center"/>
                        <w:rPr>
                          <w:rFonts w:ascii="Arial" w:hAnsi="Arial" w:cs="Arial"/>
                          <w:b/>
                          <w:bCs/>
                          <w:sz w:val="36"/>
                          <w:szCs w:val="36"/>
                        </w:rPr>
                      </w:pPr>
                    </w:p>
                  </w:txbxContent>
                </v:textbox>
                <w10:wrap anchorx="margin"/>
              </v:shape>
            </w:pict>
          </mc:Fallback>
        </mc:AlternateContent>
      </w:r>
    </w:p>
    <w:p w14:paraId="1DE17BF7" w14:textId="77777777" w:rsidR="001F1822" w:rsidRPr="00FB3B0B" w:rsidRDefault="001F1822" w:rsidP="00722EAA">
      <w:pPr>
        <w:jc w:val="both"/>
        <w:rPr>
          <w:rFonts w:ascii="Arial" w:hAnsi="Arial" w:cs="Arial"/>
          <w:b/>
          <w:color w:val="000000" w:themeColor="text1"/>
          <w:sz w:val="20"/>
        </w:rPr>
      </w:pPr>
    </w:p>
    <w:p w14:paraId="6E5D7A6F" w14:textId="77777777" w:rsidR="001F1822" w:rsidRPr="00FB3B0B" w:rsidRDefault="001F1822" w:rsidP="00722EAA">
      <w:pPr>
        <w:jc w:val="both"/>
        <w:rPr>
          <w:rFonts w:ascii="Arial" w:hAnsi="Arial" w:cs="Arial"/>
          <w:b/>
          <w:color w:val="000000" w:themeColor="text1"/>
          <w:sz w:val="20"/>
        </w:rPr>
      </w:pPr>
    </w:p>
    <w:p w14:paraId="132EEE03" w14:textId="77777777" w:rsidR="001F1822" w:rsidRPr="00FB3B0B" w:rsidRDefault="001F1822" w:rsidP="00722EAA">
      <w:pPr>
        <w:jc w:val="both"/>
        <w:rPr>
          <w:rFonts w:ascii="Arial" w:hAnsi="Arial" w:cs="Arial"/>
          <w:b/>
          <w:color w:val="000000" w:themeColor="text1"/>
          <w:sz w:val="20"/>
        </w:rPr>
      </w:pPr>
    </w:p>
    <w:p w14:paraId="0A6D9BF8" w14:textId="77777777" w:rsidR="001F1822" w:rsidRPr="00FB3B0B" w:rsidRDefault="001F1822" w:rsidP="00722EAA">
      <w:pPr>
        <w:jc w:val="both"/>
        <w:rPr>
          <w:rFonts w:ascii="Arial" w:hAnsi="Arial" w:cs="Arial"/>
          <w:b/>
          <w:color w:val="000000" w:themeColor="text1"/>
          <w:sz w:val="20"/>
        </w:rPr>
      </w:pPr>
    </w:p>
    <w:p w14:paraId="2A053962" w14:textId="77777777" w:rsidR="001F1822" w:rsidRPr="00FB3B0B" w:rsidRDefault="001F1822" w:rsidP="00722EAA">
      <w:pPr>
        <w:jc w:val="both"/>
        <w:rPr>
          <w:rFonts w:ascii="Arial" w:hAnsi="Arial" w:cs="Arial"/>
          <w:b/>
          <w:color w:val="000000" w:themeColor="text1"/>
          <w:sz w:val="20"/>
        </w:rPr>
      </w:pPr>
    </w:p>
    <w:p w14:paraId="25773899" w14:textId="77777777" w:rsidR="001F1822" w:rsidRPr="00FB3B0B" w:rsidRDefault="001F1822" w:rsidP="00722EAA">
      <w:pPr>
        <w:jc w:val="both"/>
        <w:rPr>
          <w:rFonts w:ascii="Arial" w:hAnsi="Arial" w:cs="Arial"/>
          <w:b/>
          <w:color w:val="000000" w:themeColor="text1"/>
          <w:sz w:val="20"/>
        </w:rPr>
      </w:pPr>
    </w:p>
    <w:p w14:paraId="69C310CF" w14:textId="77777777" w:rsidR="001F1822" w:rsidRPr="00FB3B0B" w:rsidRDefault="001F1822" w:rsidP="00722EAA">
      <w:pPr>
        <w:jc w:val="both"/>
        <w:rPr>
          <w:rFonts w:ascii="Arial" w:hAnsi="Arial" w:cs="Arial"/>
          <w:b/>
          <w:color w:val="000000" w:themeColor="text1"/>
          <w:sz w:val="20"/>
        </w:rPr>
      </w:pPr>
    </w:p>
    <w:p w14:paraId="7B68BD1F" w14:textId="77777777" w:rsidR="001F1822" w:rsidRPr="00FB3B0B" w:rsidRDefault="001F1822" w:rsidP="00722EAA">
      <w:pPr>
        <w:jc w:val="both"/>
        <w:rPr>
          <w:rFonts w:ascii="Arial" w:hAnsi="Arial" w:cs="Arial"/>
          <w:b/>
          <w:color w:val="000000" w:themeColor="text1"/>
          <w:sz w:val="20"/>
        </w:rPr>
      </w:pPr>
    </w:p>
    <w:p w14:paraId="7C2C4BFD" w14:textId="77777777" w:rsidR="001F1822" w:rsidRPr="00FB3B0B" w:rsidRDefault="001F1822" w:rsidP="00722EAA">
      <w:pPr>
        <w:jc w:val="both"/>
        <w:rPr>
          <w:rFonts w:ascii="Arial" w:hAnsi="Arial" w:cs="Arial"/>
          <w:b/>
          <w:color w:val="000000" w:themeColor="text1"/>
          <w:sz w:val="20"/>
        </w:rPr>
      </w:pPr>
    </w:p>
    <w:p w14:paraId="4A6C2152" w14:textId="77777777" w:rsidR="001F1822" w:rsidRPr="00FB3B0B" w:rsidRDefault="001F1822" w:rsidP="00722EAA">
      <w:pPr>
        <w:jc w:val="both"/>
        <w:rPr>
          <w:rFonts w:ascii="Arial" w:hAnsi="Arial" w:cs="Arial"/>
          <w:b/>
          <w:color w:val="000000" w:themeColor="text1"/>
          <w:sz w:val="20"/>
        </w:rPr>
      </w:pPr>
    </w:p>
    <w:p w14:paraId="31471CBC" w14:textId="77777777" w:rsidR="00FA063C" w:rsidRPr="00FB3B0B" w:rsidRDefault="00FA063C" w:rsidP="00722EAA">
      <w:pPr>
        <w:jc w:val="both"/>
        <w:rPr>
          <w:rFonts w:ascii="Arial" w:hAnsi="Arial" w:cs="Arial"/>
          <w:b/>
          <w:color w:val="000000" w:themeColor="text1"/>
          <w:sz w:val="20"/>
        </w:rPr>
      </w:pPr>
    </w:p>
    <w:p w14:paraId="102618E3" w14:textId="77777777" w:rsidR="007C6C3B" w:rsidRPr="00FB3B0B" w:rsidRDefault="007C6C3B" w:rsidP="007C6C3B">
      <w:pPr>
        <w:jc w:val="center"/>
        <w:rPr>
          <w:rFonts w:ascii="Arial" w:hAnsi="Arial" w:cs="Arial"/>
          <w:b/>
          <w:color w:val="000000" w:themeColor="text1"/>
          <w:sz w:val="32"/>
          <w:szCs w:val="32"/>
        </w:rPr>
      </w:pPr>
    </w:p>
    <w:p w14:paraId="209585F9" w14:textId="77777777" w:rsidR="007C6C3B" w:rsidRPr="00FB3B0B" w:rsidRDefault="007C6C3B" w:rsidP="007C6C3B">
      <w:pPr>
        <w:jc w:val="center"/>
        <w:rPr>
          <w:rFonts w:ascii="Arial" w:hAnsi="Arial" w:cs="Arial"/>
          <w:b/>
          <w:color w:val="000000" w:themeColor="text1"/>
          <w:sz w:val="32"/>
          <w:szCs w:val="32"/>
        </w:rPr>
      </w:pPr>
    </w:p>
    <w:p w14:paraId="23415C34" w14:textId="77777777" w:rsidR="004935E7" w:rsidRPr="00FB3B0B" w:rsidRDefault="004935E7" w:rsidP="007C6C3B">
      <w:pPr>
        <w:jc w:val="center"/>
        <w:rPr>
          <w:rFonts w:ascii="Arial" w:hAnsi="Arial" w:cs="Arial"/>
          <w:b/>
          <w:color w:val="000000" w:themeColor="text1"/>
          <w:sz w:val="32"/>
          <w:szCs w:val="32"/>
        </w:rPr>
      </w:pPr>
    </w:p>
    <w:p w14:paraId="1D7AF9F4" w14:textId="77777777" w:rsidR="00200639" w:rsidRPr="00FB3B0B" w:rsidRDefault="00200639" w:rsidP="007C6C3B">
      <w:pPr>
        <w:jc w:val="center"/>
        <w:rPr>
          <w:rFonts w:ascii="Arial" w:hAnsi="Arial" w:cs="Arial"/>
          <w:b/>
          <w:color w:val="000000" w:themeColor="text1"/>
          <w:sz w:val="32"/>
          <w:szCs w:val="32"/>
        </w:rPr>
      </w:pPr>
    </w:p>
    <w:p w14:paraId="693E5291" w14:textId="77777777" w:rsidR="00200639" w:rsidRPr="00FB3B0B" w:rsidRDefault="00200639" w:rsidP="007C6C3B">
      <w:pPr>
        <w:jc w:val="center"/>
        <w:rPr>
          <w:rFonts w:ascii="Arial" w:hAnsi="Arial" w:cs="Arial"/>
          <w:b/>
          <w:color w:val="000000" w:themeColor="text1"/>
          <w:sz w:val="32"/>
          <w:szCs w:val="32"/>
        </w:rPr>
      </w:pPr>
    </w:p>
    <w:p w14:paraId="16F26B8E" w14:textId="77777777" w:rsidR="00200639" w:rsidRPr="00FB3B0B" w:rsidRDefault="00200639" w:rsidP="007C6C3B">
      <w:pPr>
        <w:jc w:val="center"/>
        <w:rPr>
          <w:rFonts w:ascii="Arial" w:hAnsi="Arial" w:cs="Arial"/>
          <w:b/>
          <w:color w:val="000000" w:themeColor="text1"/>
          <w:sz w:val="32"/>
          <w:szCs w:val="32"/>
        </w:rPr>
      </w:pPr>
    </w:p>
    <w:tbl>
      <w:tblPr>
        <w:tblStyle w:val="Grilledutableau"/>
        <w:tblW w:w="9639" w:type="dxa"/>
        <w:tblInd w:w="137" w:type="dxa"/>
        <w:tblLook w:val="04A0" w:firstRow="1" w:lastRow="0" w:firstColumn="1" w:lastColumn="0" w:noHBand="0" w:noVBand="1"/>
      </w:tblPr>
      <w:tblGrid>
        <w:gridCol w:w="9639"/>
      </w:tblGrid>
      <w:tr w:rsidR="007C6C3B" w:rsidRPr="00FB3B0B" w14:paraId="1EE5463F" w14:textId="77777777" w:rsidTr="00A534BD">
        <w:tc>
          <w:tcPr>
            <w:tcW w:w="9639" w:type="dxa"/>
          </w:tcPr>
          <w:p w14:paraId="6D14E91F" w14:textId="77777777" w:rsidR="007C6C3B" w:rsidRPr="00FB3B0B" w:rsidRDefault="007C6C3B" w:rsidP="005C00F0">
            <w:pPr>
              <w:jc w:val="center"/>
              <w:rPr>
                <w:rFonts w:ascii="Arial" w:hAnsi="Arial" w:cs="Arial"/>
                <w:b/>
                <w:color w:val="000000" w:themeColor="text1"/>
                <w:sz w:val="32"/>
                <w:szCs w:val="32"/>
              </w:rPr>
            </w:pPr>
          </w:p>
          <w:p w14:paraId="56402F7D" w14:textId="05C61B0E" w:rsidR="007C6C3B" w:rsidRDefault="007C6C3B" w:rsidP="005C00F0">
            <w:pPr>
              <w:jc w:val="center"/>
              <w:rPr>
                <w:rFonts w:ascii="Arial" w:hAnsi="Arial" w:cs="Arial"/>
                <w:b/>
                <w:color w:val="000000" w:themeColor="text1"/>
                <w:sz w:val="32"/>
                <w:szCs w:val="32"/>
              </w:rPr>
            </w:pPr>
            <w:r w:rsidRPr="00FA5C37">
              <w:rPr>
                <w:rFonts w:ascii="Arial" w:hAnsi="Arial" w:cs="Arial"/>
                <w:b/>
                <w:color w:val="000000" w:themeColor="text1"/>
                <w:sz w:val="32"/>
                <w:szCs w:val="32"/>
              </w:rPr>
              <w:t>MARCHE SUBSEQUENT</w:t>
            </w:r>
          </w:p>
          <w:p w14:paraId="0FA107DF" w14:textId="533C6425" w:rsidR="00C93975" w:rsidRPr="00FA5C37" w:rsidRDefault="00C93975" w:rsidP="005C00F0">
            <w:pPr>
              <w:jc w:val="center"/>
              <w:rPr>
                <w:rFonts w:ascii="Arial" w:hAnsi="Arial" w:cs="Arial"/>
                <w:b/>
                <w:color w:val="000000" w:themeColor="text1"/>
                <w:sz w:val="32"/>
                <w:szCs w:val="32"/>
              </w:rPr>
            </w:pPr>
            <w:r>
              <w:rPr>
                <w:rFonts w:ascii="Arial" w:hAnsi="Arial" w:cs="Arial"/>
                <w:b/>
                <w:color w:val="000000" w:themeColor="text1"/>
                <w:sz w:val="32"/>
                <w:szCs w:val="32"/>
              </w:rPr>
              <w:t>(Consultation INSERM-PACA-2025-23)</w:t>
            </w:r>
          </w:p>
          <w:p w14:paraId="67304D41" w14:textId="2127EF88" w:rsidR="007E3E77" w:rsidRPr="00FA5C37" w:rsidRDefault="007E3E77" w:rsidP="005C00F0">
            <w:pPr>
              <w:jc w:val="center"/>
              <w:rPr>
                <w:rFonts w:ascii="Arial" w:hAnsi="Arial" w:cs="Arial"/>
                <w:color w:val="000000" w:themeColor="text1"/>
                <w:sz w:val="32"/>
                <w:szCs w:val="32"/>
              </w:rPr>
            </w:pPr>
            <w:proofErr w:type="gramStart"/>
            <w:r w:rsidRPr="00FA5C37">
              <w:rPr>
                <w:rFonts w:ascii="Arial" w:hAnsi="Arial" w:cs="Arial"/>
                <w:color w:val="000000" w:themeColor="text1"/>
                <w:sz w:val="32"/>
                <w:szCs w:val="32"/>
              </w:rPr>
              <w:t>portant</w:t>
            </w:r>
            <w:proofErr w:type="gramEnd"/>
            <w:r w:rsidRPr="00FA5C37">
              <w:rPr>
                <w:rFonts w:ascii="Arial" w:hAnsi="Arial" w:cs="Arial"/>
                <w:color w:val="000000" w:themeColor="text1"/>
                <w:sz w:val="32"/>
                <w:szCs w:val="32"/>
              </w:rPr>
              <w:t xml:space="preserve"> sur</w:t>
            </w:r>
          </w:p>
          <w:p w14:paraId="6F25E956" w14:textId="6D3F975E" w:rsidR="007E3E77" w:rsidRPr="00FA5C37" w:rsidRDefault="00C93975" w:rsidP="007E3E77">
            <w:pPr>
              <w:spacing w:before="240"/>
              <w:jc w:val="center"/>
              <w:rPr>
                <w:rFonts w:ascii="Arial" w:hAnsi="Arial" w:cs="Arial"/>
                <w:b/>
                <w:color w:val="000000" w:themeColor="text1"/>
                <w:sz w:val="32"/>
                <w:szCs w:val="32"/>
              </w:rPr>
            </w:pPr>
            <w:proofErr w:type="gramStart"/>
            <w:r>
              <w:rPr>
                <w:rFonts w:ascii="Arial" w:hAnsi="Arial" w:cs="Arial"/>
                <w:b/>
                <w:color w:val="000000" w:themeColor="text1"/>
                <w:sz w:val="32"/>
                <w:szCs w:val="32"/>
              </w:rPr>
              <w:t>l’acquisition</w:t>
            </w:r>
            <w:proofErr w:type="gramEnd"/>
            <w:r>
              <w:rPr>
                <w:rFonts w:ascii="Arial" w:hAnsi="Arial" w:cs="Arial"/>
                <w:b/>
                <w:color w:val="000000" w:themeColor="text1"/>
                <w:sz w:val="32"/>
                <w:szCs w:val="32"/>
              </w:rPr>
              <w:t xml:space="preserve"> d’un trieur de cellules pour échantillons ou cellules humaines</w:t>
            </w:r>
          </w:p>
          <w:p w14:paraId="141CF8F8" w14:textId="77777777" w:rsidR="007E3E77" w:rsidRPr="007E3E77" w:rsidRDefault="007E3E77" w:rsidP="005C00F0">
            <w:pPr>
              <w:jc w:val="center"/>
              <w:rPr>
                <w:rFonts w:ascii="Arial" w:hAnsi="Arial" w:cs="Arial"/>
                <w:color w:val="000000" w:themeColor="text1"/>
                <w:sz w:val="32"/>
                <w:szCs w:val="32"/>
              </w:rPr>
            </w:pPr>
          </w:p>
          <w:p w14:paraId="35EB4C92" w14:textId="21EB24E6" w:rsidR="007C6C3B" w:rsidRPr="00FB3B0B" w:rsidRDefault="007C6C3B" w:rsidP="00A534BD">
            <w:pPr>
              <w:jc w:val="both"/>
              <w:rPr>
                <w:rFonts w:ascii="Arial" w:hAnsi="Arial" w:cs="Arial"/>
                <w:b/>
                <w:color w:val="000000" w:themeColor="text1"/>
                <w:sz w:val="32"/>
                <w:szCs w:val="32"/>
              </w:rPr>
            </w:pPr>
          </w:p>
        </w:tc>
      </w:tr>
    </w:tbl>
    <w:p w14:paraId="680E9C41" w14:textId="77777777" w:rsidR="00BC366A" w:rsidRDefault="00BC366A" w:rsidP="008134F9">
      <w:pPr>
        <w:pStyle w:val="Titre1"/>
        <w:spacing w:after="120"/>
        <w:jc w:val="center"/>
        <w:rPr>
          <w:rFonts w:ascii="Arial" w:hAnsi="Arial" w:cs="Arial"/>
          <w:sz w:val="22"/>
          <w:szCs w:val="22"/>
        </w:rPr>
      </w:pPr>
    </w:p>
    <w:p w14:paraId="5A383B52" w14:textId="77777777" w:rsidR="00A534BD" w:rsidRDefault="00BC366A" w:rsidP="00A534BD">
      <w:pPr>
        <w:rPr>
          <w:rFonts w:ascii="Arial" w:hAnsi="Arial" w:cs="Arial"/>
          <w:sz w:val="22"/>
          <w:szCs w:val="22"/>
        </w:rPr>
      </w:pPr>
      <w:r>
        <w:rPr>
          <w:rFonts w:ascii="Arial" w:hAnsi="Arial" w:cs="Arial"/>
          <w:sz w:val="22"/>
          <w:szCs w:val="22"/>
        </w:rPr>
        <w:br w:type="page"/>
      </w:r>
    </w:p>
    <w:p w14:paraId="41909E39" w14:textId="6B5C4EE8" w:rsidR="00A534BD" w:rsidRPr="00A534BD" w:rsidRDefault="00A534BD" w:rsidP="00A534BD">
      <w:pPr>
        <w:jc w:val="center"/>
        <w:rPr>
          <w:rFonts w:ascii="Arial" w:hAnsi="Arial" w:cs="Arial"/>
          <w:b/>
          <w:sz w:val="28"/>
          <w:szCs w:val="22"/>
        </w:rPr>
      </w:pPr>
      <w:r w:rsidRPr="00A534BD">
        <w:rPr>
          <w:rFonts w:ascii="Arial" w:hAnsi="Arial" w:cs="Arial"/>
          <w:b/>
          <w:sz w:val="28"/>
          <w:szCs w:val="22"/>
        </w:rPr>
        <w:lastRenderedPageBreak/>
        <w:t>SOMMAIRE</w:t>
      </w:r>
    </w:p>
    <w:p w14:paraId="74E411E3" w14:textId="2FB8CA2B" w:rsidR="00A534BD" w:rsidRDefault="00A534BD" w:rsidP="00A534BD">
      <w:pPr>
        <w:rPr>
          <w:rFonts w:ascii="Arial" w:hAnsi="Arial" w:cs="Arial"/>
          <w:sz w:val="22"/>
          <w:szCs w:val="22"/>
        </w:rPr>
      </w:pPr>
    </w:p>
    <w:p w14:paraId="32192561" w14:textId="77777777" w:rsidR="00A534BD" w:rsidRDefault="00A534BD" w:rsidP="00A534BD">
      <w:pPr>
        <w:rPr>
          <w:rFonts w:ascii="Arial" w:hAnsi="Arial" w:cs="Arial"/>
          <w:sz w:val="22"/>
          <w:szCs w:val="22"/>
        </w:rPr>
      </w:pPr>
    </w:p>
    <w:p w14:paraId="190304EC" w14:textId="6CFC4603" w:rsidR="00072D0B" w:rsidRDefault="00A534BD">
      <w:pPr>
        <w:pStyle w:val="TM1"/>
        <w:tabs>
          <w:tab w:val="left" w:pos="1440"/>
          <w:tab w:val="right" w:leader="dot" w:pos="9736"/>
        </w:tabs>
        <w:rPr>
          <w:rFonts w:eastAsiaTheme="minorEastAsia" w:cstheme="minorBidi"/>
          <w:b w:val="0"/>
          <w:bCs w:val="0"/>
          <w:noProof/>
          <w:kern w:val="2"/>
          <w:sz w:val="24"/>
          <w:szCs w:val="24"/>
          <w14:ligatures w14:val="standardContextual"/>
        </w:rPr>
      </w:pPr>
      <w:r>
        <w:rPr>
          <w:rFonts w:ascii="Arial" w:eastAsia="Calibri" w:hAnsi="Arial" w:cs="Arial"/>
          <w:sz w:val="22"/>
          <w:szCs w:val="22"/>
          <w:lang w:eastAsia="en-US"/>
        </w:rPr>
        <w:fldChar w:fldCharType="begin"/>
      </w:r>
      <w:r>
        <w:rPr>
          <w:rFonts w:ascii="Arial" w:eastAsia="Calibri" w:hAnsi="Arial" w:cs="Arial"/>
          <w:sz w:val="22"/>
          <w:szCs w:val="22"/>
          <w:lang w:eastAsia="en-US"/>
        </w:rPr>
        <w:instrText xml:space="preserve"> TOC \o "1-4" \h \z \u </w:instrText>
      </w:r>
      <w:r>
        <w:rPr>
          <w:rFonts w:ascii="Arial" w:eastAsia="Calibri" w:hAnsi="Arial" w:cs="Arial"/>
          <w:sz w:val="22"/>
          <w:szCs w:val="22"/>
          <w:lang w:eastAsia="en-US"/>
        </w:rPr>
        <w:fldChar w:fldCharType="separate"/>
      </w:r>
      <w:hyperlink w:anchor="_Toc202194655" w:history="1">
        <w:r w:rsidR="00072D0B" w:rsidRPr="00AF19B5">
          <w:rPr>
            <w:rStyle w:val="Lienhypertexte"/>
            <w:rFonts w:ascii="Arial" w:hAnsi="Arial" w:cs="Arial"/>
            <w:caps/>
            <w:noProof/>
            <w:kern w:val="32"/>
            <w:lang w:eastAsia="en-US"/>
          </w:rPr>
          <w:t>Article 1.</w:t>
        </w:r>
        <w:r w:rsidR="00072D0B">
          <w:rPr>
            <w:rFonts w:eastAsiaTheme="minorEastAsia" w:cstheme="minorBidi"/>
            <w:b w:val="0"/>
            <w:bCs w:val="0"/>
            <w:noProof/>
            <w:kern w:val="2"/>
            <w:sz w:val="24"/>
            <w:szCs w:val="24"/>
            <w14:ligatures w14:val="standardContextual"/>
          </w:rPr>
          <w:tab/>
        </w:r>
        <w:r w:rsidR="00072D0B" w:rsidRPr="00AF19B5">
          <w:rPr>
            <w:rStyle w:val="Lienhypertexte"/>
            <w:rFonts w:ascii="Arial" w:hAnsi="Arial" w:cs="Arial"/>
            <w:caps/>
            <w:noProof/>
            <w:kern w:val="32"/>
            <w:lang w:eastAsia="en-US"/>
          </w:rPr>
          <w:t>Acheteur</w:t>
        </w:r>
        <w:r w:rsidR="00072D0B">
          <w:rPr>
            <w:noProof/>
            <w:webHidden/>
          </w:rPr>
          <w:tab/>
        </w:r>
        <w:r w:rsidR="00072D0B">
          <w:rPr>
            <w:noProof/>
            <w:webHidden/>
          </w:rPr>
          <w:fldChar w:fldCharType="begin"/>
        </w:r>
        <w:r w:rsidR="00072D0B">
          <w:rPr>
            <w:noProof/>
            <w:webHidden/>
          </w:rPr>
          <w:instrText xml:space="preserve"> PAGEREF _Toc202194655 \h </w:instrText>
        </w:r>
        <w:r w:rsidR="00072D0B">
          <w:rPr>
            <w:noProof/>
            <w:webHidden/>
          </w:rPr>
        </w:r>
        <w:r w:rsidR="00072D0B">
          <w:rPr>
            <w:noProof/>
            <w:webHidden/>
          </w:rPr>
          <w:fldChar w:fldCharType="separate"/>
        </w:r>
        <w:r w:rsidR="00072D0B">
          <w:rPr>
            <w:noProof/>
            <w:webHidden/>
          </w:rPr>
          <w:t>3</w:t>
        </w:r>
        <w:r w:rsidR="00072D0B">
          <w:rPr>
            <w:noProof/>
            <w:webHidden/>
          </w:rPr>
          <w:fldChar w:fldCharType="end"/>
        </w:r>
      </w:hyperlink>
    </w:p>
    <w:p w14:paraId="23E08F67" w14:textId="7566FEB0" w:rsidR="00072D0B" w:rsidRDefault="00072D0B">
      <w:pPr>
        <w:pStyle w:val="TM1"/>
        <w:tabs>
          <w:tab w:val="left" w:pos="1440"/>
          <w:tab w:val="right" w:leader="dot" w:pos="9736"/>
        </w:tabs>
        <w:rPr>
          <w:rFonts w:eastAsiaTheme="minorEastAsia" w:cstheme="minorBidi"/>
          <w:b w:val="0"/>
          <w:bCs w:val="0"/>
          <w:noProof/>
          <w:kern w:val="2"/>
          <w:sz w:val="24"/>
          <w:szCs w:val="24"/>
          <w14:ligatures w14:val="standardContextual"/>
        </w:rPr>
      </w:pPr>
      <w:hyperlink w:anchor="_Toc202194656" w:history="1">
        <w:r w:rsidRPr="00AF19B5">
          <w:rPr>
            <w:rStyle w:val="Lienhypertexte"/>
            <w:rFonts w:ascii="Arial" w:hAnsi="Arial" w:cs="Arial"/>
            <w:caps/>
            <w:noProof/>
            <w:kern w:val="32"/>
            <w:lang w:eastAsia="en-US"/>
          </w:rPr>
          <w:t>Article 2.</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OBJET DU MARCHE SUBSEQUENT</w:t>
        </w:r>
        <w:r>
          <w:rPr>
            <w:noProof/>
            <w:webHidden/>
          </w:rPr>
          <w:tab/>
        </w:r>
        <w:r>
          <w:rPr>
            <w:noProof/>
            <w:webHidden/>
          </w:rPr>
          <w:fldChar w:fldCharType="begin"/>
        </w:r>
        <w:r>
          <w:rPr>
            <w:noProof/>
            <w:webHidden/>
          </w:rPr>
          <w:instrText xml:space="preserve"> PAGEREF _Toc202194656 \h </w:instrText>
        </w:r>
        <w:r>
          <w:rPr>
            <w:noProof/>
            <w:webHidden/>
          </w:rPr>
        </w:r>
        <w:r>
          <w:rPr>
            <w:noProof/>
            <w:webHidden/>
          </w:rPr>
          <w:fldChar w:fldCharType="separate"/>
        </w:r>
        <w:r>
          <w:rPr>
            <w:noProof/>
            <w:webHidden/>
          </w:rPr>
          <w:t>3</w:t>
        </w:r>
        <w:r>
          <w:rPr>
            <w:noProof/>
            <w:webHidden/>
          </w:rPr>
          <w:fldChar w:fldCharType="end"/>
        </w:r>
      </w:hyperlink>
    </w:p>
    <w:p w14:paraId="78EA28B3" w14:textId="05DED4A0" w:rsidR="00072D0B" w:rsidRDefault="00072D0B">
      <w:pPr>
        <w:pStyle w:val="TM1"/>
        <w:tabs>
          <w:tab w:val="left" w:pos="1440"/>
          <w:tab w:val="right" w:leader="dot" w:pos="9736"/>
        </w:tabs>
        <w:rPr>
          <w:rFonts w:eastAsiaTheme="minorEastAsia" w:cstheme="minorBidi"/>
          <w:b w:val="0"/>
          <w:bCs w:val="0"/>
          <w:noProof/>
          <w:kern w:val="2"/>
          <w:sz w:val="24"/>
          <w:szCs w:val="24"/>
          <w14:ligatures w14:val="standardContextual"/>
        </w:rPr>
      </w:pPr>
      <w:hyperlink w:anchor="_Toc202194657" w:history="1">
        <w:r w:rsidRPr="00AF19B5">
          <w:rPr>
            <w:rStyle w:val="Lienhypertexte"/>
            <w:rFonts w:ascii="Arial" w:hAnsi="Arial" w:cs="Arial"/>
            <w:caps/>
            <w:noProof/>
            <w:kern w:val="32"/>
            <w:lang w:eastAsia="en-US"/>
          </w:rPr>
          <w:t>Article 3.</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CONTEXTE DE L’ACHAT</w:t>
        </w:r>
        <w:r>
          <w:rPr>
            <w:noProof/>
            <w:webHidden/>
          </w:rPr>
          <w:tab/>
        </w:r>
        <w:r>
          <w:rPr>
            <w:noProof/>
            <w:webHidden/>
          </w:rPr>
          <w:fldChar w:fldCharType="begin"/>
        </w:r>
        <w:r>
          <w:rPr>
            <w:noProof/>
            <w:webHidden/>
          </w:rPr>
          <w:instrText xml:space="preserve"> PAGEREF _Toc202194657 \h </w:instrText>
        </w:r>
        <w:r>
          <w:rPr>
            <w:noProof/>
            <w:webHidden/>
          </w:rPr>
        </w:r>
        <w:r>
          <w:rPr>
            <w:noProof/>
            <w:webHidden/>
          </w:rPr>
          <w:fldChar w:fldCharType="separate"/>
        </w:r>
        <w:r>
          <w:rPr>
            <w:noProof/>
            <w:webHidden/>
          </w:rPr>
          <w:t>3</w:t>
        </w:r>
        <w:r>
          <w:rPr>
            <w:noProof/>
            <w:webHidden/>
          </w:rPr>
          <w:fldChar w:fldCharType="end"/>
        </w:r>
      </w:hyperlink>
    </w:p>
    <w:p w14:paraId="4A284367" w14:textId="338ED344" w:rsidR="00072D0B" w:rsidRDefault="00072D0B">
      <w:pPr>
        <w:pStyle w:val="TM1"/>
        <w:tabs>
          <w:tab w:val="left" w:pos="1440"/>
          <w:tab w:val="right" w:leader="dot" w:pos="9736"/>
        </w:tabs>
        <w:rPr>
          <w:rFonts w:eastAsiaTheme="minorEastAsia" w:cstheme="minorBidi"/>
          <w:b w:val="0"/>
          <w:bCs w:val="0"/>
          <w:noProof/>
          <w:kern w:val="2"/>
          <w:sz w:val="24"/>
          <w:szCs w:val="24"/>
          <w14:ligatures w14:val="standardContextual"/>
        </w:rPr>
      </w:pPr>
      <w:hyperlink w:anchor="_Toc202194658" w:history="1">
        <w:r w:rsidRPr="00AF19B5">
          <w:rPr>
            <w:rStyle w:val="Lienhypertexte"/>
            <w:rFonts w:ascii="Arial" w:hAnsi="Arial" w:cs="Arial"/>
            <w:caps/>
            <w:noProof/>
            <w:kern w:val="32"/>
            <w:lang w:eastAsia="en-US"/>
          </w:rPr>
          <w:t>Article 4.</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PERFORMANCES ET EXIGENCES FONCTIONNELLES MINIMALES de l’INSTRUMENT ET PRESTATIONS COMPLEMENTAIRES</w:t>
        </w:r>
        <w:r>
          <w:rPr>
            <w:noProof/>
            <w:webHidden/>
          </w:rPr>
          <w:tab/>
        </w:r>
        <w:r>
          <w:rPr>
            <w:noProof/>
            <w:webHidden/>
          </w:rPr>
          <w:fldChar w:fldCharType="begin"/>
        </w:r>
        <w:r>
          <w:rPr>
            <w:noProof/>
            <w:webHidden/>
          </w:rPr>
          <w:instrText xml:space="preserve"> PAGEREF _Toc202194658 \h </w:instrText>
        </w:r>
        <w:r>
          <w:rPr>
            <w:noProof/>
            <w:webHidden/>
          </w:rPr>
        </w:r>
        <w:r>
          <w:rPr>
            <w:noProof/>
            <w:webHidden/>
          </w:rPr>
          <w:fldChar w:fldCharType="separate"/>
        </w:r>
        <w:r>
          <w:rPr>
            <w:noProof/>
            <w:webHidden/>
          </w:rPr>
          <w:t>3</w:t>
        </w:r>
        <w:r>
          <w:rPr>
            <w:noProof/>
            <w:webHidden/>
          </w:rPr>
          <w:fldChar w:fldCharType="end"/>
        </w:r>
      </w:hyperlink>
    </w:p>
    <w:p w14:paraId="05AEA14F" w14:textId="352C7298" w:rsidR="00072D0B" w:rsidRDefault="00072D0B">
      <w:pPr>
        <w:pStyle w:val="TM2"/>
        <w:tabs>
          <w:tab w:val="left" w:pos="960"/>
          <w:tab w:val="right" w:leader="dot" w:pos="9736"/>
        </w:tabs>
        <w:rPr>
          <w:rFonts w:eastAsiaTheme="minorEastAsia" w:cstheme="minorBidi"/>
          <w:i w:val="0"/>
          <w:iCs w:val="0"/>
          <w:noProof/>
          <w:kern w:val="2"/>
          <w:sz w:val="24"/>
          <w:szCs w:val="24"/>
          <w14:ligatures w14:val="standardContextual"/>
        </w:rPr>
      </w:pPr>
      <w:hyperlink w:anchor="_Toc202194659" w:history="1">
        <w:r w:rsidRPr="00AF19B5">
          <w:rPr>
            <w:rStyle w:val="Lienhypertexte"/>
            <w:rFonts w:ascii="Arial" w:hAnsi="Arial" w:cs="Arial"/>
            <w:b/>
            <w:bCs/>
            <w:noProof/>
            <w:spacing w:val="5"/>
            <w:lang w:eastAsia="en-US"/>
          </w:rPr>
          <w:t>4.1</w:t>
        </w:r>
        <w:r>
          <w:rPr>
            <w:rFonts w:eastAsiaTheme="minorEastAsia" w:cstheme="minorBidi"/>
            <w:i w:val="0"/>
            <w:iCs w:val="0"/>
            <w:noProof/>
            <w:kern w:val="2"/>
            <w:sz w:val="24"/>
            <w:szCs w:val="24"/>
            <w14:ligatures w14:val="standardContextual"/>
          </w:rPr>
          <w:tab/>
        </w:r>
        <w:r w:rsidRPr="00AF19B5">
          <w:rPr>
            <w:rStyle w:val="Lienhypertexte"/>
            <w:rFonts w:ascii="Arial" w:hAnsi="Arial" w:cs="Arial"/>
            <w:b/>
            <w:bCs/>
            <w:noProof/>
            <w:spacing w:val="5"/>
            <w:lang w:eastAsia="en-US"/>
          </w:rPr>
          <w:t>Performances et exigences fonctionnelles minimales de l’instrument</w:t>
        </w:r>
        <w:r>
          <w:rPr>
            <w:noProof/>
            <w:webHidden/>
          </w:rPr>
          <w:tab/>
        </w:r>
        <w:r>
          <w:rPr>
            <w:noProof/>
            <w:webHidden/>
          </w:rPr>
          <w:fldChar w:fldCharType="begin"/>
        </w:r>
        <w:r>
          <w:rPr>
            <w:noProof/>
            <w:webHidden/>
          </w:rPr>
          <w:instrText xml:space="preserve"> PAGEREF _Toc202194659 \h </w:instrText>
        </w:r>
        <w:r>
          <w:rPr>
            <w:noProof/>
            <w:webHidden/>
          </w:rPr>
        </w:r>
        <w:r>
          <w:rPr>
            <w:noProof/>
            <w:webHidden/>
          </w:rPr>
          <w:fldChar w:fldCharType="separate"/>
        </w:r>
        <w:r>
          <w:rPr>
            <w:noProof/>
            <w:webHidden/>
          </w:rPr>
          <w:t>3</w:t>
        </w:r>
        <w:r>
          <w:rPr>
            <w:noProof/>
            <w:webHidden/>
          </w:rPr>
          <w:fldChar w:fldCharType="end"/>
        </w:r>
      </w:hyperlink>
    </w:p>
    <w:p w14:paraId="176F13D7" w14:textId="5F7D2A0B" w:rsidR="00072D0B" w:rsidRDefault="00072D0B">
      <w:pPr>
        <w:pStyle w:val="TM2"/>
        <w:tabs>
          <w:tab w:val="left" w:pos="960"/>
          <w:tab w:val="right" w:leader="dot" w:pos="9736"/>
        </w:tabs>
        <w:rPr>
          <w:rFonts w:eastAsiaTheme="minorEastAsia" w:cstheme="minorBidi"/>
          <w:i w:val="0"/>
          <w:iCs w:val="0"/>
          <w:noProof/>
          <w:kern w:val="2"/>
          <w:sz w:val="24"/>
          <w:szCs w:val="24"/>
          <w14:ligatures w14:val="standardContextual"/>
        </w:rPr>
      </w:pPr>
      <w:hyperlink w:anchor="_Toc202194660" w:history="1">
        <w:r w:rsidRPr="00AF19B5">
          <w:rPr>
            <w:rStyle w:val="Lienhypertexte"/>
            <w:rFonts w:ascii="Arial" w:hAnsi="Arial" w:cs="Arial"/>
            <w:b/>
            <w:bCs/>
            <w:noProof/>
            <w:spacing w:val="5"/>
            <w:lang w:eastAsia="en-US"/>
          </w:rPr>
          <w:t>4.2</w:t>
        </w:r>
        <w:r>
          <w:rPr>
            <w:rFonts w:eastAsiaTheme="minorEastAsia" w:cstheme="minorBidi"/>
            <w:i w:val="0"/>
            <w:iCs w:val="0"/>
            <w:noProof/>
            <w:kern w:val="2"/>
            <w:sz w:val="24"/>
            <w:szCs w:val="24"/>
            <w14:ligatures w14:val="standardContextual"/>
          </w:rPr>
          <w:tab/>
        </w:r>
        <w:r w:rsidRPr="00AF19B5">
          <w:rPr>
            <w:rStyle w:val="Lienhypertexte"/>
            <w:rFonts w:ascii="Arial" w:hAnsi="Arial" w:cs="Arial"/>
            <w:b/>
            <w:bCs/>
            <w:noProof/>
            <w:spacing w:val="5"/>
            <w:lang w:eastAsia="en-US"/>
          </w:rPr>
          <w:t>Prestations complémentaires à l’instrument</w:t>
        </w:r>
        <w:r>
          <w:rPr>
            <w:noProof/>
            <w:webHidden/>
          </w:rPr>
          <w:tab/>
        </w:r>
        <w:r>
          <w:rPr>
            <w:noProof/>
            <w:webHidden/>
          </w:rPr>
          <w:fldChar w:fldCharType="begin"/>
        </w:r>
        <w:r>
          <w:rPr>
            <w:noProof/>
            <w:webHidden/>
          </w:rPr>
          <w:instrText xml:space="preserve"> PAGEREF _Toc202194660 \h </w:instrText>
        </w:r>
        <w:r>
          <w:rPr>
            <w:noProof/>
            <w:webHidden/>
          </w:rPr>
        </w:r>
        <w:r>
          <w:rPr>
            <w:noProof/>
            <w:webHidden/>
          </w:rPr>
          <w:fldChar w:fldCharType="separate"/>
        </w:r>
        <w:r>
          <w:rPr>
            <w:noProof/>
            <w:webHidden/>
          </w:rPr>
          <w:t>4</w:t>
        </w:r>
        <w:r>
          <w:rPr>
            <w:noProof/>
            <w:webHidden/>
          </w:rPr>
          <w:fldChar w:fldCharType="end"/>
        </w:r>
      </w:hyperlink>
    </w:p>
    <w:p w14:paraId="1B58E52A" w14:textId="4D39E46C" w:rsidR="00072D0B" w:rsidRDefault="00072D0B">
      <w:pPr>
        <w:pStyle w:val="TM1"/>
        <w:tabs>
          <w:tab w:val="left" w:pos="1440"/>
          <w:tab w:val="right" w:leader="dot" w:pos="9736"/>
        </w:tabs>
        <w:rPr>
          <w:rFonts w:eastAsiaTheme="minorEastAsia" w:cstheme="minorBidi"/>
          <w:b w:val="0"/>
          <w:bCs w:val="0"/>
          <w:noProof/>
          <w:kern w:val="2"/>
          <w:sz w:val="24"/>
          <w:szCs w:val="24"/>
          <w14:ligatures w14:val="standardContextual"/>
        </w:rPr>
      </w:pPr>
      <w:hyperlink w:anchor="_Toc202194661" w:history="1">
        <w:r w:rsidRPr="00AF19B5">
          <w:rPr>
            <w:rStyle w:val="Lienhypertexte"/>
            <w:rFonts w:ascii="Arial" w:hAnsi="Arial" w:cs="Arial"/>
            <w:caps/>
            <w:noProof/>
            <w:kern w:val="32"/>
            <w:lang w:eastAsia="en-US"/>
          </w:rPr>
          <w:t>Article 5.</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Modalités de livraison</w:t>
        </w:r>
        <w:r>
          <w:rPr>
            <w:noProof/>
            <w:webHidden/>
          </w:rPr>
          <w:tab/>
        </w:r>
        <w:r>
          <w:rPr>
            <w:noProof/>
            <w:webHidden/>
          </w:rPr>
          <w:fldChar w:fldCharType="begin"/>
        </w:r>
        <w:r>
          <w:rPr>
            <w:noProof/>
            <w:webHidden/>
          </w:rPr>
          <w:instrText xml:space="preserve"> PAGEREF _Toc202194661 \h </w:instrText>
        </w:r>
        <w:r>
          <w:rPr>
            <w:noProof/>
            <w:webHidden/>
          </w:rPr>
        </w:r>
        <w:r>
          <w:rPr>
            <w:noProof/>
            <w:webHidden/>
          </w:rPr>
          <w:fldChar w:fldCharType="separate"/>
        </w:r>
        <w:r>
          <w:rPr>
            <w:noProof/>
            <w:webHidden/>
          </w:rPr>
          <w:t>5</w:t>
        </w:r>
        <w:r>
          <w:rPr>
            <w:noProof/>
            <w:webHidden/>
          </w:rPr>
          <w:fldChar w:fldCharType="end"/>
        </w:r>
      </w:hyperlink>
    </w:p>
    <w:p w14:paraId="3C5C4FBA" w14:textId="418E7E7F" w:rsidR="00072D0B" w:rsidRDefault="00072D0B">
      <w:pPr>
        <w:pStyle w:val="TM1"/>
        <w:tabs>
          <w:tab w:val="left" w:pos="1440"/>
          <w:tab w:val="right" w:leader="dot" w:pos="9736"/>
        </w:tabs>
        <w:rPr>
          <w:rFonts w:eastAsiaTheme="minorEastAsia" w:cstheme="minorBidi"/>
          <w:b w:val="0"/>
          <w:bCs w:val="0"/>
          <w:noProof/>
          <w:kern w:val="2"/>
          <w:sz w:val="24"/>
          <w:szCs w:val="24"/>
          <w14:ligatures w14:val="standardContextual"/>
        </w:rPr>
      </w:pPr>
      <w:hyperlink w:anchor="_Toc202194662" w:history="1">
        <w:r w:rsidRPr="00AF19B5">
          <w:rPr>
            <w:rStyle w:val="Lienhypertexte"/>
            <w:rFonts w:ascii="Arial" w:hAnsi="Arial" w:cs="Arial"/>
            <w:caps/>
            <w:noProof/>
            <w:kern w:val="32"/>
            <w:lang w:eastAsia="en-US"/>
          </w:rPr>
          <w:t>Article 6.</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Délais d’exécution</w:t>
        </w:r>
        <w:r>
          <w:rPr>
            <w:noProof/>
            <w:webHidden/>
          </w:rPr>
          <w:tab/>
        </w:r>
        <w:r>
          <w:rPr>
            <w:noProof/>
            <w:webHidden/>
          </w:rPr>
          <w:fldChar w:fldCharType="begin"/>
        </w:r>
        <w:r>
          <w:rPr>
            <w:noProof/>
            <w:webHidden/>
          </w:rPr>
          <w:instrText xml:space="preserve"> PAGEREF _Toc202194662 \h </w:instrText>
        </w:r>
        <w:r>
          <w:rPr>
            <w:noProof/>
            <w:webHidden/>
          </w:rPr>
        </w:r>
        <w:r>
          <w:rPr>
            <w:noProof/>
            <w:webHidden/>
          </w:rPr>
          <w:fldChar w:fldCharType="separate"/>
        </w:r>
        <w:r>
          <w:rPr>
            <w:noProof/>
            <w:webHidden/>
          </w:rPr>
          <w:t>5</w:t>
        </w:r>
        <w:r>
          <w:rPr>
            <w:noProof/>
            <w:webHidden/>
          </w:rPr>
          <w:fldChar w:fldCharType="end"/>
        </w:r>
      </w:hyperlink>
    </w:p>
    <w:p w14:paraId="3C6B79BF" w14:textId="5C147605" w:rsidR="00072D0B" w:rsidRDefault="00072D0B">
      <w:pPr>
        <w:pStyle w:val="TM2"/>
        <w:tabs>
          <w:tab w:val="left" w:pos="960"/>
          <w:tab w:val="right" w:leader="dot" w:pos="9736"/>
        </w:tabs>
        <w:rPr>
          <w:rFonts w:eastAsiaTheme="minorEastAsia" w:cstheme="minorBidi"/>
          <w:i w:val="0"/>
          <w:iCs w:val="0"/>
          <w:noProof/>
          <w:kern w:val="2"/>
          <w:sz w:val="24"/>
          <w:szCs w:val="24"/>
          <w14:ligatures w14:val="standardContextual"/>
        </w:rPr>
      </w:pPr>
      <w:hyperlink w:anchor="_Toc202194663" w:history="1">
        <w:r w:rsidRPr="00AF19B5">
          <w:rPr>
            <w:rStyle w:val="Lienhypertexte"/>
            <w:rFonts w:ascii="Arial" w:hAnsi="Arial" w:cs="Arial"/>
            <w:b/>
            <w:bCs/>
            <w:noProof/>
            <w:spacing w:val="5"/>
            <w:lang w:eastAsia="en-US"/>
          </w:rPr>
          <w:t>6.1</w:t>
        </w:r>
        <w:r>
          <w:rPr>
            <w:rFonts w:eastAsiaTheme="minorEastAsia" w:cstheme="minorBidi"/>
            <w:i w:val="0"/>
            <w:iCs w:val="0"/>
            <w:noProof/>
            <w:kern w:val="2"/>
            <w:sz w:val="24"/>
            <w:szCs w:val="24"/>
            <w14:ligatures w14:val="standardContextual"/>
          </w:rPr>
          <w:tab/>
        </w:r>
        <w:r w:rsidRPr="00AF19B5">
          <w:rPr>
            <w:rStyle w:val="Lienhypertexte"/>
            <w:rFonts w:ascii="Arial" w:hAnsi="Arial" w:cs="Arial"/>
            <w:b/>
            <w:bCs/>
            <w:noProof/>
            <w:spacing w:val="5"/>
            <w:lang w:eastAsia="en-US"/>
          </w:rPr>
          <w:t>Délai d’exécution concernant l’installation (mise en ordre de marche) de l’équipement</w:t>
        </w:r>
        <w:r>
          <w:rPr>
            <w:noProof/>
            <w:webHidden/>
          </w:rPr>
          <w:tab/>
        </w:r>
        <w:r>
          <w:rPr>
            <w:noProof/>
            <w:webHidden/>
          </w:rPr>
          <w:fldChar w:fldCharType="begin"/>
        </w:r>
        <w:r>
          <w:rPr>
            <w:noProof/>
            <w:webHidden/>
          </w:rPr>
          <w:instrText xml:space="preserve"> PAGEREF _Toc202194663 \h </w:instrText>
        </w:r>
        <w:r>
          <w:rPr>
            <w:noProof/>
            <w:webHidden/>
          </w:rPr>
        </w:r>
        <w:r>
          <w:rPr>
            <w:noProof/>
            <w:webHidden/>
          </w:rPr>
          <w:fldChar w:fldCharType="separate"/>
        </w:r>
        <w:r>
          <w:rPr>
            <w:noProof/>
            <w:webHidden/>
          </w:rPr>
          <w:t>5</w:t>
        </w:r>
        <w:r>
          <w:rPr>
            <w:noProof/>
            <w:webHidden/>
          </w:rPr>
          <w:fldChar w:fldCharType="end"/>
        </w:r>
      </w:hyperlink>
    </w:p>
    <w:p w14:paraId="022A72CD" w14:textId="68D52D58" w:rsidR="00072D0B" w:rsidRDefault="00072D0B">
      <w:pPr>
        <w:pStyle w:val="TM2"/>
        <w:tabs>
          <w:tab w:val="left" w:pos="960"/>
          <w:tab w:val="right" w:leader="dot" w:pos="9736"/>
        </w:tabs>
        <w:rPr>
          <w:rFonts w:eastAsiaTheme="minorEastAsia" w:cstheme="minorBidi"/>
          <w:i w:val="0"/>
          <w:iCs w:val="0"/>
          <w:noProof/>
          <w:kern w:val="2"/>
          <w:sz w:val="24"/>
          <w:szCs w:val="24"/>
          <w14:ligatures w14:val="standardContextual"/>
        </w:rPr>
      </w:pPr>
      <w:hyperlink w:anchor="_Toc202194664" w:history="1">
        <w:r w:rsidRPr="00AF19B5">
          <w:rPr>
            <w:rStyle w:val="Lienhypertexte"/>
            <w:rFonts w:ascii="Arial" w:hAnsi="Arial" w:cs="Arial"/>
            <w:b/>
            <w:bCs/>
            <w:noProof/>
            <w:spacing w:val="5"/>
            <w:lang w:eastAsia="en-US"/>
          </w:rPr>
          <w:t>6.2</w:t>
        </w:r>
        <w:r>
          <w:rPr>
            <w:rFonts w:eastAsiaTheme="minorEastAsia" w:cstheme="minorBidi"/>
            <w:i w:val="0"/>
            <w:iCs w:val="0"/>
            <w:noProof/>
            <w:kern w:val="2"/>
            <w:sz w:val="24"/>
            <w:szCs w:val="24"/>
            <w14:ligatures w14:val="standardContextual"/>
          </w:rPr>
          <w:tab/>
        </w:r>
        <w:r w:rsidRPr="00AF19B5">
          <w:rPr>
            <w:rStyle w:val="Lienhypertexte"/>
            <w:rFonts w:ascii="Arial" w:hAnsi="Arial" w:cs="Arial"/>
            <w:b/>
            <w:bCs/>
            <w:noProof/>
            <w:spacing w:val="5"/>
            <w:lang w:eastAsia="en-US"/>
          </w:rPr>
          <w:t>Délai d’intervention en cas de panne</w:t>
        </w:r>
        <w:r>
          <w:rPr>
            <w:noProof/>
            <w:webHidden/>
          </w:rPr>
          <w:tab/>
        </w:r>
        <w:r>
          <w:rPr>
            <w:noProof/>
            <w:webHidden/>
          </w:rPr>
          <w:fldChar w:fldCharType="begin"/>
        </w:r>
        <w:r>
          <w:rPr>
            <w:noProof/>
            <w:webHidden/>
          </w:rPr>
          <w:instrText xml:space="preserve"> PAGEREF _Toc202194664 \h </w:instrText>
        </w:r>
        <w:r>
          <w:rPr>
            <w:noProof/>
            <w:webHidden/>
          </w:rPr>
        </w:r>
        <w:r>
          <w:rPr>
            <w:noProof/>
            <w:webHidden/>
          </w:rPr>
          <w:fldChar w:fldCharType="separate"/>
        </w:r>
        <w:r>
          <w:rPr>
            <w:noProof/>
            <w:webHidden/>
          </w:rPr>
          <w:t>5</w:t>
        </w:r>
        <w:r>
          <w:rPr>
            <w:noProof/>
            <w:webHidden/>
          </w:rPr>
          <w:fldChar w:fldCharType="end"/>
        </w:r>
      </w:hyperlink>
    </w:p>
    <w:p w14:paraId="3182D0DB" w14:textId="1662476F" w:rsidR="00072D0B" w:rsidRDefault="00072D0B">
      <w:pPr>
        <w:pStyle w:val="TM1"/>
        <w:tabs>
          <w:tab w:val="left" w:pos="1440"/>
          <w:tab w:val="right" w:leader="dot" w:pos="9736"/>
        </w:tabs>
        <w:rPr>
          <w:rFonts w:eastAsiaTheme="minorEastAsia" w:cstheme="minorBidi"/>
          <w:b w:val="0"/>
          <w:bCs w:val="0"/>
          <w:noProof/>
          <w:kern w:val="2"/>
          <w:sz w:val="24"/>
          <w:szCs w:val="24"/>
          <w14:ligatures w14:val="standardContextual"/>
        </w:rPr>
      </w:pPr>
      <w:hyperlink w:anchor="_Toc202194665" w:history="1">
        <w:r w:rsidRPr="00AF19B5">
          <w:rPr>
            <w:rStyle w:val="Lienhypertexte"/>
            <w:rFonts w:ascii="Arial" w:hAnsi="Arial" w:cs="Arial"/>
            <w:caps/>
            <w:noProof/>
            <w:kern w:val="32"/>
            <w:lang w:eastAsia="en-US"/>
          </w:rPr>
          <w:t>Article 7.</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Formation ET documentation</w:t>
        </w:r>
        <w:r>
          <w:rPr>
            <w:noProof/>
            <w:webHidden/>
          </w:rPr>
          <w:tab/>
        </w:r>
        <w:r>
          <w:rPr>
            <w:noProof/>
            <w:webHidden/>
          </w:rPr>
          <w:fldChar w:fldCharType="begin"/>
        </w:r>
        <w:r>
          <w:rPr>
            <w:noProof/>
            <w:webHidden/>
          </w:rPr>
          <w:instrText xml:space="preserve"> PAGEREF _Toc202194665 \h </w:instrText>
        </w:r>
        <w:r>
          <w:rPr>
            <w:noProof/>
            <w:webHidden/>
          </w:rPr>
        </w:r>
        <w:r>
          <w:rPr>
            <w:noProof/>
            <w:webHidden/>
          </w:rPr>
          <w:fldChar w:fldCharType="separate"/>
        </w:r>
        <w:r>
          <w:rPr>
            <w:noProof/>
            <w:webHidden/>
          </w:rPr>
          <w:t>5</w:t>
        </w:r>
        <w:r>
          <w:rPr>
            <w:noProof/>
            <w:webHidden/>
          </w:rPr>
          <w:fldChar w:fldCharType="end"/>
        </w:r>
      </w:hyperlink>
    </w:p>
    <w:p w14:paraId="029325C0" w14:textId="6ADDC071" w:rsidR="00072D0B" w:rsidRDefault="00072D0B">
      <w:pPr>
        <w:pStyle w:val="TM1"/>
        <w:tabs>
          <w:tab w:val="left" w:pos="1440"/>
          <w:tab w:val="right" w:leader="dot" w:pos="9736"/>
        </w:tabs>
        <w:rPr>
          <w:rFonts w:eastAsiaTheme="minorEastAsia" w:cstheme="minorBidi"/>
          <w:b w:val="0"/>
          <w:bCs w:val="0"/>
          <w:noProof/>
          <w:kern w:val="2"/>
          <w:sz w:val="24"/>
          <w:szCs w:val="24"/>
          <w14:ligatures w14:val="standardContextual"/>
        </w:rPr>
      </w:pPr>
      <w:hyperlink w:anchor="_Toc202194666" w:history="1">
        <w:r w:rsidRPr="00AF19B5">
          <w:rPr>
            <w:rStyle w:val="Lienhypertexte"/>
            <w:rFonts w:ascii="Arial" w:hAnsi="Arial" w:cs="Arial"/>
            <w:caps/>
            <w:noProof/>
            <w:kern w:val="32"/>
            <w:lang w:eastAsia="en-US"/>
          </w:rPr>
          <w:t>Article 8.</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SERVICES MINIMUMS EXIGES PENDANT LA PERIODE DE Garantie</w:t>
        </w:r>
        <w:r>
          <w:rPr>
            <w:noProof/>
            <w:webHidden/>
          </w:rPr>
          <w:tab/>
        </w:r>
        <w:r>
          <w:rPr>
            <w:noProof/>
            <w:webHidden/>
          </w:rPr>
          <w:fldChar w:fldCharType="begin"/>
        </w:r>
        <w:r>
          <w:rPr>
            <w:noProof/>
            <w:webHidden/>
          </w:rPr>
          <w:instrText xml:space="preserve"> PAGEREF _Toc202194666 \h </w:instrText>
        </w:r>
        <w:r>
          <w:rPr>
            <w:noProof/>
            <w:webHidden/>
          </w:rPr>
        </w:r>
        <w:r>
          <w:rPr>
            <w:noProof/>
            <w:webHidden/>
          </w:rPr>
          <w:fldChar w:fldCharType="separate"/>
        </w:r>
        <w:r>
          <w:rPr>
            <w:noProof/>
            <w:webHidden/>
          </w:rPr>
          <w:t>6</w:t>
        </w:r>
        <w:r>
          <w:rPr>
            <w:noProof/>
            <w:webHidden/>
          </w:rPr>
          <w:fldChar w:fldCharType="end"/>
        </w:r>
      </w:hyperlink>
    </w:p>
    <w:p w14:paraId="621BE61A" w14:textId="44E786D0" w:rsidR="00072D0B" w:rsidRDefault="00072D0B">
      <w:pPr>
        <w:pStyle w:val="TM1"/>
        <w:tabs>
          <w:tab w:val="left" w:pos="1440"/>
          <w:tab w:val="right" w:leader="dot" w:pos="9736"/>
        </w:tabs>
        <w:rPr>
          <w:rFonts w:eastAsiaTheme="minorEastAsia" w:cstheme="minorBidi"/>
          <w:b w:val="0"/>
          <w:bCs w:val="0"/>
          <w:noProof/>
          <w:kern w:val="2"/>
          <w:sz w:val="24"/>
          <w:szCs w:val="24"/>
          <w14:ligatures w14:val="standardContextual"/>
        </w:rPr>
      </w:pPr>
      <w:hyperlink w:anchor="_Toc202194667" w:history="1">
        <w:r w:rsidRPr="00AF19B5">
          <w:rPr>
            <w:rStyle w:val="Lienhypertexte"/>
            <w:rFonts w:ascii="Arial" w:hAnsi="Arial" w:cs="Arial"/>
            <w:caps/>
            <w:noProof/>
            <w:kern w:val="32"/>
            <w:lang w:eastAsia="en-US"/>
          </w:rPr>
          <w:t>Article 9.</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MESURES PRISES PAR LE TITULAIRE EN MATIERE DE PROTECTION DE L’ENVIRONNEMENT</w:t>
        </w:r>
        <w:r>
          <w:rPr>
            <w:noProof/>
            <w:webHidden/>
          </w:rPr>
          <w:tab/>
        </w:r>
        <w:r>
          <w:rPr>
            <w:noProof/>
            <w:webHidden/>
          </w:rPr>
          <w:fldChar w:fldCharType="begin"/>
        </w:r>
        <w:r>
          <w:rPr>
            <w:noProof/>
            <w:webHidden/>
          </w:rPr>
          <w:instrText xml:space="preserve"> PAGEREF _Toc202194667 \h </w:instrText>
        </w:r>
        <w:r>
          <w:rPr>
            <w:noProof/>
            <w:webHidden/>
          </w:rPr>
        </w:r>
        <w:r>
          <w:rPr>
            <w:noProof/>
            <w:webHidden/>
          </w:rPr>
          <w:fldChar w:fldCharType="separate"/>
        </w:r>
        <w:r>
          <w:rPr>
            <w:noProof/>
            <w:webHidden/>
          </w:rPr>
          <w:t>6</w:t>
        </w:r>
        <w:r>
          <w:rPr>
            <w:noProof/>
            <w:webHidden/>
          </w:rPr>
          <w:fldChar w:fldCharType="end"/>
        </w:r>
      </w:hyperlink>
    </w:p>
    <w:p w14:paraId="63576BDB" w14:textId="031B78C7" w:rsidR="00072D0B" w:rsidRDefault="00072D0B">
      <w:pPr>
        <w:pStyle w:val="TM1"/>
        <w:tabs>
          <w:tab w:val="left" w:pos="1680"/>
          <w:tab w:val="right" w:leader="dot" w:pos="9736"/>
        </w:tabs>
        <w:rPr>
          <w:rFonts w:eastAsiaTheme="minorEastAsia" w:cstheme="minorBidi"/>
          <w:b w:val="0"/>
          <w:bCs w:val="0"/>
          <w:noProof/>
          <w:kern w:val="2"/>
          <w:sz w:val="24"/>
          <w:szCs w:val="24"/>
          <w14:ligatures w14:val="standardContextual"/>
        </w:rPr>
      </w:pPr>
      <w:hyperlink w:anchor="_Toc202194668" w:history="1">
        <w:r w:rsidRPr="00AF19B5">
          <w:rPr>
            <w:rStyle w:val="Lienhypertexte"/>
            <w:rFonts w:ascii="Arial" w:hAnsi="Arial" w:cs="Arial"/>
            <w:caps/>
            <w:noProof/>
            <w:kern w:val="32"/>
            <w:lang w:eastAsia="en-US"/>
          </w:rPr>
          <w:t>Article 10.</w:t>
        </w:r>
        <w:r>
          <w:rPr>
            <w:rFonts w:eastAsiaTheme="minorEastAsia" w:cstheme="minorBidi"/>
            <w:b w:val="0"/>
            <w:bCs w:val="0"/>
            <w:noProof/>
            <w:kern w:val="2"/>
            <w:sz w:val="24"/>
            <w:szCs w:val="24"/>
            <w14:ligatures w14:val="standardContextual"/>
          </w:rPr>
          <w:tab/>
        </w:r>
        <w:r w:rsidRPr="00AF19B5">
          <w:rPr>
            <w:rStyle w:val="Lienhypertexte"/>
            <w:rFonts w:ascii="Arial" w:hAnsi="Arial" w:cs="Arial"/>
            <w:caps/>
            <w:noProof/>
            <w:kern w:val="32"/>
            <w:lang w:eastAsia="en-US"/>
          </w:rPr>
          <w:t>MESURES PRISES PAR LE TITULAIRE EN FAVEUR DE SA RESPONSABILITE SOCIETALE</w:t>
        </w:r>
        <w:r>
          <w:rPr>
            <w:noProof/>
            <w:webHidden/>
          </w:rPr>
          <w:tab/>
        </w:r>
        <w:r>
          <w:rPr>
            <w:noProof/>
            <w:webHidden/>
          </w:rPr>
          <w:fldChar w:fldCharType="begin"/>
        </w:r>
        <w:r>
          <w:rPr>
            <w:noProof/>
            <w:webHidden/>
          </w:rPr>
          <w:instrText xml:space="preserve"> PAGEREF _Toc202194668 \h </w:instrText>
        </w:r>
        <w:r>
          <w:rPr>
            <w:noProof/>
            <w:webHidden/>
          </w:rPr>
        </w:r>
        <w:r>
          <w:rPr>
            <w:noProof/>
            <w:webHidden/>
          </w:rPr>
          <w:fldChar w:fldCharType="separate"/>
        </w:r>
        <w:r>
          <w:rPr>
            <w:noProof/>
            <w:webHidden/>
          </w:rPr>
          <w:t>7</w:t>
        </w:r>
        <w:r>
          <w:rPr>
            <w:noProof/>
            <w:webHidden/>
          </w:rPr>
          <w:fldChar w:fldCharType="end"/>
        </w:r>
      </w:hyperlink>
    </w:p>
    <w:p w14:paraId="5A70B74C" w14:textId="2BD19D6E" w:rsidR="00A534BD" w:rsidRPr="00A534BD" w:rsidRDefault="00A534BD" w:rsidP="00A534BD">
      <w:pPr>
        <w:tabs>
          <w:tab w:val="left" w:pos="1455"/>
        </w:tabs>
        <w:spacing w:after="160" w:line="259" w:lineRule="auto"/>
        <w:rPr>
          <w:rFonts w:ascii="Arial" w:eastAsia="Calibri" w:hAnsi="Arial" w:cs="Arial"/>
          <w:sz w:val="22"/>
          <w:szCs w:val="22"/>
          <w:lang w:eastAsia="en-US"/>
        </w:rPr>
      </w:pPr>
      <w:r>
        <w:rPr>
          <w:rFonts w:ascii="Arial" w:eastAsia="Calibri" w:hAnsi="Arial" w:cs="Arial"/>
          <w:sz w:val="22"/>
          <w:szCs w:val="22"/>
          <w:lang w:eastAsia="en-US"/>
        </w:rPr>
        <w:fldChar w:fldCharType="end"/>
      </w:r>
    </w:p>
    <w:p w14:paraId="7F3FB963" w14:textId="15F00EBC" w:rsidR="00A534BD" w:rsidRPr="00A534BD" w:rsidRDefault="00A534BD" w:rsidP="00A534BD">
      <w:pPr>
        <w:keepNext/>
        <w:keepLines/>
        <w:spacing w:before="240" w:line="259" w:lineRule="auto"/>
        <w:jc w:val="center"/>
        <w:rPr>
          <w:rFonts w:ascii="Arial" w:eastAsia="Calibri" w:hAnsi="Arial" w:cs="Arial"/>
          <w:sz w:val="22"/>
          <w:szCs w:val="22"/>
          <w:lang w:eastAsia="en-US"/>
        </w:rPr>
      </w:pPr>
    </w:p>
    <w:p w14:paraId="4AB7FCA1" w14:textId="77777777" w:rsidR="00A534BD" w:rsidRPr="00A534BD" w:rsidRDefault="00A534BD" w:rsidP="00A534BD">
      <w:pPr>
        <w:tabs>
          <w:tab w:val="left" w:pos="1455"/>
        </w:tabs>
        <w:spacing w:after="160" w:line="259" w:lineRule="auto"/>
        <w:rPr>
          <w:rFonts w:ascii="Arial" w:eastAsia="Calibri" w:hAnsi="Arial" w:cs="Arial"/>
          <w:sz w:val="22"/>
          <w:szCs w:val="22"/>
          <w:lang w:eastAsia="en-US"/>
        </w:rPr>
      </w:pPr>
    </w:p>
    <w:p w14:paraId="0F639B76" w14:textId="77777777" w:rsidR="00A534BD" w:rsidRPr="00A534BD" w:rsidRDefault="00A534BD" w:rsidP="00A534BD">
      <w:pPr>
        <w:tabs>
          <w:tab w:val="left" w:pos="1455"/>
        </w:tabs>
        <w:spacing w:after="160" w:line="259" w:lineRule="auto"/>
        <w:rPr>
          <w:rFonts w:ascii="Arial" w:eastAsia="Calibri" w:hAnsi="Arial" w:cs="Arial"/>
          <w:sz w:val="22"/>
          <w:szCs w:val="22"/>
          <w:lang w:eastAsia="en-US"/>
        </w:rPr>
      </w:pPr>
    </w:p>
    <w:p w14:paraId="1ACB6103" w14:textId="473A6F3E" w:rsidR="00A534BD" w:rsidRPr="00A534BD" w:rsidRDefault="00A534BD" w:rsidP="00A534BD">
      <w:pPr>
        <w:rPr>
          <w:rFonts w:ascii="Arial" w:eastAsia="Calibri" w:hAnsi="Arial" w:cs="Arial"/>
          <w:sz w:val="22"/>
          <w:szCs w:val="22"/>
          <w:lang w:eastAsia="en-US"/>
        </w:rPr>
      </w:pPr>
      <w:r>
        <w:rPr>
          <w:rFonts w:ascii="Arial" w:eastAsia="Calibri" w:hAnsi="Arial" w:cs="Arial"/>
          <w:sz w:val="22"/>
          <w:szCs w:val="22"/>
          <w:lang w:eastAsia="en-US"/>
        </w:rPr>
        <w:br w:type="page"/>
      </w:r>
    </w:p>
    <w:p w14:paraId="49ACB64D" w14:textId="77777777" w:rsidR="00A534BD"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2" w:name="_Toc132907676"/>
      <w:bookmarkStart w:id="3" w:name="_Toc202194655"/>
      <w:r w:rsidRPr="00A534BD">
        <w:rPr>
          <w:rFonts w:ascii="Arial" w:hAnsi="Arial" w:cs="Arial"/>
          <w:b/>
          <w:bCs/>
          <w:caps/>
          <w:kern w:val="32"/>
          <w:sz w:val="22"/>
          <w:szCs w:val="22"/>
          <w:lang w:eastAsia="en-US"/>
        </w:rPr>
        <w:lastRenderedPageBreak/>
        <w:t>Acheteur</w:t>
      </w:r>
      <w:bookmarkEnd w:id="2"/>
      <w:bookmarkEnd w:id="3"/>
      <w:r w:rsidRPr="00A534BD">
        <w:rPr>
          <w:rFonts w:ascii="Arial" w:hAnsi="Arial" w:cs="Arial"/>
          <w:b/>
          <w:bCs/>
          <w:caps/>
          <w:kern w:val="32"/>
          <w:sz w:val="22"/>
          <w:szCs w:val="22"/>
          <w:lang w:eastAsia="en-US"/>
        </w:rPr>
        <w:t xml:space="preserve"> </w:t>
      </w:r>
    </w:p>
    <w:p w14:paraId="7D5E7FE9" w14:textId="77777777" w:rsidR="00D4222B" w:rsidRDefault="00D4222B" w:rsidP="00D4222B">
      <w:pPr>
        <w:spacing w:before="240"/>
        <w:rPr>
          <w:rFonts w:ascii="Arial" w:hAnsi="Arial" w:cs="Arial"/>
          <w:b/>
          <w:bCs/>
          <w:caps/>
          <w:kern w:val="32"/>
          <w:sz w:val="22"/>
          <w:szCs w:val="22"/>
          <w:lang w:eastAsia="en-US"/>
        </w:rPr>
      </w:pPr>
      <w:r>
        <w:rPr>
          <w:rFonts w:ascii="Arial" w:eastAsia="Calibri" w:hAnsi="Arial" w:cs="Arial"/>
          <w:sz w:val="22"/>
          <w:szCs w:val="22"/>
          <w:lang w:eastAsia="en-US"/>
        </w:rPr>
        <w:t>Institut National de la Santé et de la Recherche Médicale (Inserm)</w:t>
      </w:r>
    </w:p>
    <w:p w14:paraId="2D5E0562" w14:textId="77777777" w:rsidR="00D4222B" w:rsidRDefault="00D4222B" w:rsidP="00D4222B">
      <w:pPr>
        <w:rPr>
          <w:rFonts w:ascii="Arial" w:eastAsia="Calibri" w:hAnsi="Arial" w:cs="Arial"/>
          <w:sz w:val="22"/>
          <w:szCs w:val="22"/>
          <w:lang w:eastAsia="en-US"/>
        </w:rPr>
      </w:pPr>
      <w:r>
        <w:rPr>
          <w:rFonts w:ascii="Arial" w:eastAsia="Calibri" w:hAnsi="Arial" w:cs="Arial"/>
          <w:sz w:val="22"/>
          <w:szCs w:val="22"/>
          <w:lang w:eastAsia="en-US"/>
        </w:rPr>
        <w:t xml:space="preserve">Délégation Régionale </w:t>
      </w:r>
      <w:sdt>
        <w:sdtPr>
          <w:rPr>
            <w:rFonts w:ascii="Calibri" w:eastAsia="Calibri" w:hAnsi="Calibri" w:cs="Arial"/>
            <w:sz w:val="22"/>
            <w:szCs w:val="22"/>
            <w:lang w:eastAsia="en-US"/>
          </w:rPr>
          <w:alias w:val="choisir la Délégation régionale "/>
          <w:tag w:val="choisir la Délégation régionale "/>
          <w:id w:val="-1515067596"/>
          <w:placeholder>
            <w:docPart w:val="1C995A61B00F460098181BEC74231618"/>
          </w:placeholder>
          <w:comboBox>
            <w:listItem w:value="Choisissez un élément."/>
            <w:listItem w:displayText="Nouvelle-Aquitaine" w:value="Nouvelle-Aquitaine"/>
            <w:listItem w:displayText="Nord-Ouest" w:value="Nord-Ouest"/>
            <w:listItem w:displayText="Auvergne Rhône-Alpes" w:value="Auvergne Rhône-Alpes"/>
            <w:listItem w:displayText="Paca et Corse" w:value="Paca et Corse"/>
            <w:listItem w:displayText="Occitanie Méditerranée" w:value="Occitanie Méditerranée"/>
            <w:listItem w:displayText="Grand Ouest" w:value="Grand Ouest"/>
            <w:listItem w:displayText="Paris-IDF Centre Nord" w:value="Paris-IDF Centre Nord"/>
            <w:listItem w:displayText="Paris-IDF Centre Est" w:value="Paris-IDF Centre Est"/>
            <w:listItem w:displayText="Paris-IDF Sud" w:value="Paris-IDF Sud"/>
            <w:listItem w:displayText="Est" w:value="Est"/>
            <w:listItem w:displayText="Occitanie Pyrénées" w:value="Occitanie Pyrénées"/>
          </w:comboBox>
        </w:sdtPr>
        <w:sdtEndPr/>
        <w:sdtContent>
          <w:r>
            <w:rPr>
              <w:rFonts w:ascii="Arial" w:eastAsia="Calibri" w:hAnsi="Arial"/>
              <w:sz w:val="22"/>
              <w:szCs w:val="22"/>
              <w:lang w:eastAsia="en-US"/>
            </w:rPr>
            <w:t>Paca et Corse</w:t>
          </w:r>
        </w:sdtContent>
      </w:sdt>
    </w:p>
    <w:p w14:paraId="0B013E45" w14:textId="77777777" w:rsidR="00D4222B" w:rsidRDefault="00D4222B" w:rsidP="00D4222B">
      <w:pPr>
        <w:jc w:val="both"/>
        <w:rPr>
          <w:rFonts w:ascii="Arial" w:eastAsia="Calibri" w:hAnsi="Arial" w:cs="Arial"/>
          <w:sz w:val="22"/>
          <w:szCs w:val="22"/>
          <w:lang w:eastAsia="en-US"/>
        </w:rPr>
      </w:pPr>
      <w:r>
        <w:rPr>
          <w:rFonts w:ascii="Arial" w:eastAsia="Calibri" w:hAnsi="Arial" w:cs="Arial"/>
          <w:sz w:val="22"/>
          <w:szCs w:val="22"/>
          <w:lang w:eastAsia="en-US"/>
        </w:rPr>
        <w:t>18 avenue Mozart CS20172</w:t>
      </w:r>
    </w:p>
    <w:p w14:paraId="49BEA359" w14:textId="77777777" w:rsidR="00D4222B" w:rsidRDefault="00D4222B" w:rsidP="00D4222B">
      <w:pPr>
        <w:jc w:val="both"/>
        <w:rPr>
          <w:rFonts w:ascii="Arial" w:eastAsia="Calibri" w:hAnsi="Arial" w:cs="Arial"/>
          <w:sz w:val="22"/>
          <w:szCs w:val="22"/>
          <w:lang w:eastAsia="en-US"/>
        </w:rPr>
      </w:pPr>
      <w:r>
        <w:rPr>
          <w:rFonts w:ascii="Arial" w:eastAsia="Calibri" w:hAnsi="Arial" w:cs="Arial"/>
          <w:sz w:val="22"/>
          <w:szCs w:val="22"/>
          <w:lang w:eastAsia="en-US"/>
        </w:rPr>
        <w:t>13276 MARSEILLE Cedex 09</w:t>
      </w:r>
    </w:p>
    <w:p w14:paraId="318D75B5" w14:textId="77777777" w:rsidR="00D4222B" w:rsidRDefault="00D4222B" w:rsidP="00D4222B">
      <w:pPr>
        <w:jc w:val="both"/>
        <w:rPr>
          <w:rFonts w:ascii="Arial" w:eastAsia="Calibri" w:hAnsi="Arial" w:cs="Arial"/>
          <w:sz w:val="22"/>
          <w:szCs w:val="22"/>
          <w:lang w:eastAsia="en-US"/>
        </w:rPr>
      </w:pPr>
      <w:r>
        <w:rPr>
          <w:rFonts w:ascii="Arial" w:eastAsia="Calibri" w:hAnsi="Arial" w:cs="Arial"/>
          <w:sz w:val="22"/>
          <w:szCs w:val="22"/>
          <w:lang w:eastAsia="en-US"/>
        </w:rPr>
        <w:t>Représenté par Madame Françoise SIMON-PLAS, Déléguée Régionale</w:t>
      </w:r>
    </w:p>
    <w:p w14:paraId="1AE97B92" w14:textId="77777777" w:rsidR="00D4222B" w:rsidRDefault="00D4222B" w:rsidP="00D4222B">
      <w:pPr>
        <w:jc w:val="both"/>
        <w:rPr>
          <w:rFonts w:ascii="Arial" w:eastAsia="Calibri" w:hAnsi="Arial" w:cs="Arial"/>
          <w:sz w:val="22"/>
          <w:szCs w:val="22"/>
          <w:lang w:eastAsia="en-US"/>
        </w:rPr>
      </w:pPr>
    </w:p>
    <w:p w14:paraId="0A364937" w14:textId="77777777" w:rsidR="00D4222B" w:rsidRDefault="00D4222B" w:rsidP="00D4222B">
      <w:pPr>
        <w:jc w:val="both"/>
        <w:rPr>
          <w:rFonts w:ascii="Arial" w:eastAsia="Calibri" w:hAnsi="Arial" w:cs="Arial"/>
          <w:sz w:val="22"/>
          <w:szCs w:val="22"/>
          <w:lang w:eastAsia="en-US"/>
        </w:rPr>
      </w:pPr>
      <w:r>
        <w:rPr>
          <w:rFonts w:ascii="Arial" w:eastAsia="Calibri" w:hAnsi="Arial" w:cs="Arial"/>
          <w:sz w:val="22"/>
          <w:szCs w:val="22"/>
          <w:lang w:eastAsia="en-US"/>
        </w:rPr>
        <w:t xml:space="preserve">Unité INSERM bénéficiaire de l’achat : </w:t>
      </w:r>
    </w:p>
    <w:p w14:paraId="5FA366CB" w14:textId="77777777" w:rsidR="00D4222B" w:rsidRDefault="00D4222B" w:rsidP="00D4222B">
      <w:pPr>
        <w:jc w:val="both"/>
        <w:rPr>
          <w:rFonts w:ascii="Arial" w:eastAsia="Calibri" w:hAnsi="Arial" w:cs="Arial"/>
          <w:sz w:val="22"/>
          <w:szCs w:val="22"/>
          <w:lang w:eastAsia="en-US"/>
        </w:rPr>
      </w:pPr>
      <w:r>
        <w:rPr>
          <w:rFonts w:ascii="Arial" w:eastAsia="Calibri" w:hAnsi="Arial" w:cs="Arial"/>
          <w:sz w:val="22"/>
          <w:szCs w:val="22"/>
          <w:lang w:eastAsia="en-US"/>
        </w:rPr>
        <w:t>U1104 – CIML - Centre d’Immunologie de Marseille – Luminy – Parc scientifique et technologique de Luminy, Case 906, 13288 MARSEILLE Cedex 09</w:t>
      </w:r>
    </w:p>
    <w:p w14:paraId="34C45C5F" w14:textId="77777777" w:rsidR="00A534BD" w:rsidRPr="00A534BD" w:rsidRDefault="00A534BD" w:rsidP="00A534BD">
      <w:pPr>
        <w:jc w:val="both"/>
        <w:rPr>
          <w:rFonts w:ascii="Arial" w:eastAsia="Calibri" w:hAnsi="Arial" w:cs="Arial"/>
          <w:sz w:val="22"/>
          <w:szCs w:val="22"/>
          <w:lang w:eastAsia="en-US"/>
        </w:rPr>
      </w:pPr>
    </w:p>
    <w:p w14:paraId="6C187742" w14:textId="77777777" w:rsidR="00A534BD" w:rsidRPr="00A534BD" w:rsidRDefault="00A534BD" w:rsidP="00A534BD">
      <w:pPr>
        <w:jc w:val="both"/>
        <w:rPr>
          <w:rFonts w:ascii="Arial" w:eastAsia="Calibri" w:hAnsi="Arial" w:cs="Arial"/>
          <w:sz w:val="22"/>
          <w:szCs w:val="22"/>
          <w:lang w:eastAsia="en-US"/>
        </w:rPr>
      </w:pPr>
    </w:p>
    <w:p w14:paraId="27D4DFBF" w14:textId="59F9753B" w:rsidR="00A534BD"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4" w:name="_Toc132907677"/>
      <w:bookmarkStart w:id="5" w:name="_Toc202194656"/>
      <w:r w:rsidRPr="00A534BD">
        <w:rPr>
          <w:rFonts w:ascii="Arial" w:hAnsi="Arial" w:cs="Arial"/>
          <w:b/>
          <w:bCs/>
          <w:caps/>
          <w:kern w:val="32"/>
          <w:sz w:val="22"/>
          <w:szCs w:val="22"/>
          <w:lang w:eastAsia="en-US"/>
        </w:rPr>
        <w:t>OBJET DU MARCHE SUBSEQUENT</w:t>
      </w:r>
      <w:bookmarkEnd w:id="4"/>
      <w:bookmarkEnd w:id="5"/>
    </w:p>
    <w:p w14:paraId="58937917" w14:textId="2B0DE1D0" w:rsidR="00A534BD" w:rsidRPr="00A55E0E" w:rsidRDefault="00A534BD" w:rsidP="00A534BD">
      <w:pPr>
        <w:spacing w:before="240"/>
        <w:jc w:val="both"/>
        <w:rPr>
          <w:rFonts w:ascii="Arial" w:hAnsi="Arial" w:cs="Arial"/>
          <w:sz w:val="22"/>
          <w:szCs w:val="22"/>
        </w:rPr>
      </w:pPr>
      <w:r w:rsidRPr="00A534BD">
        <w:rPr>
          <w:rFonts w:ascii="Arial" w:hAnsi="Arial" w:cs="Arial"/>
          <w:spacing w:val="-4"/>
          <w:sz w:val="22"/>
          <w:szCs w:val="22"/>
        </w:rPr>
        <w:t xml:space="preserve">Le présent marché subséquent a pour objet l’acquisition, la livraison et l’installation </w:t>
      </w:r>
      <w:r w:rsidRPr="00A55E0E">
        <w:rPr>
          <w:rFonts w:ascii="Arial" w:hAnsi="Arial" w:cs="Arial"/>
          <w:spacing w:val="-4"/>
          <w:sz w:val="22"/>
          <w:szCs w:val="22"/>
        </w:rPr>
        <w:t>d’un</w:t>
      </w:r>
      <w:r w:rsidR="00A55E0E" w:rsidRPr="00A55E0E">
        <w:rPr>
          <w:rFonts w:ascii="Arial" w:hAnsi="Arial" w:cs="Arial"/>
          <w:color w:val="808080"/>
          <w:sz w:val="22"/>
          <w:szCs w:val="22"/>
        </w:rPr>
        <w:t xml:space="preserve"> </w:t>
      </w:r>
      <w:r w:rsidR="00A55E0E" w:rsidRPr="00A55E0E">
        <w:rPr>
          <w:rFonts w:ascii="Arial" w:hAnsi="Arial" w:cs="Arial"/>
          <w:sz w:val="22"/>
          <w:szCs w:val="22"/>
        </w:rPr>
        <w:t>trieur de cellules pour échantillons ou cellules humaines</w:t>
      </w:r>
    </w:p>
    <w:p w14:paraId="2C994CD9" w14:textId="77777777" w:rsidR="00A534BD" w:rsidRPr="00A55E0E" w:rsidRDefault="00A534BD" w:rsidP="00A534BD">
      <w:pPr>
        <w:spacing w:after="160" w:line="259" w:lineRule="auto"/>
        <w:jc w:val="both"/>
        <w:rPr>
          <w:rFonts w:ascii="Arial" w:eastAsia="Calibri" w:hAnsi="Arial" w:cs="Arial"/>
          <w:sz w:val="22"/>
          <w:szCs w:val="22"/>
          <w:lang w:eastAsia="en-US"/>
        </w:rPr>
      </w:pPr>
    </w:p>
    <w:p w14:paraId="195F6911" w14:textId="77777777" w:rsidR="00A534BD" w:rsidRPr="00EB399B"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6" w:name="_Toc132907678"/>
      <w:bookmarkStart w:id="7" w:name="_Toc202194657"/>
      <w:r w:rsidRPr="00EB399B">
        <w:rPr>
          <w:rFonts w:ascii="Arial" w:hAnsi="Arial" w:cs="Arial"/>
          <w:b/>
          <w:bCs/>
          <w:caps/>
          <w:kern w:val="32"/>
          <w:sz w:val="22"/>
          <w:szCs w:val="22"/>
          <w:lang w:eastAsia="en-US"/>
        </w:rPr>
        <w:t>CONTEXTE DE L’ACHAT</w:t>
      </w:r>
      <w:bookmarkEnd w:id="6"/>
      <w:bookmarkEnd w:id="7"/>
    </w:p>
    <w:p w14:paraId="164D2D0D" w14:textId="6442BF00" w:rsidR="00516D94" w:rsidRPr="00516D94" w:rsidRDefault="00516D94" w:rsidP="00516D94">
      <w:pPr>
        <w:spacing w:after="160" w:line="259" w:lineRule="auto"/>
        <w:jc w:val="both"/>
        <w:rPr>
          <w:rFonts w:ascii="Arial" w:eastAsia="Calibri" w:hAnsi="Arial" w:cs="Arial"/>
          <w:sz w:val="22"/>
          <w:szCs w:val="22"/>
          <w:lang w:eastAsia="en-US"/>
        </w:rPr>
      </w:pPr>
      <w:r w:rsidRPr="00516D94">
        <w:rPr>
          <w:rFonts w:ascii="Arial" w:eastAsia="Calibri" w:hAnsi="Arial" w:cs="Arial"/>
          <w:sz w:val="22"/>
          <w:szCs w:val="22"/>
          <w:lang w:eastAsia="en-US"/>
        </w:rPr>
        <w:t xml:space="preserve">Contexte d'acquisition d'un trieur de cellules pour </w:t>
      </w:r>
      <w:r>
        <w:rPr>
          <w:rFonts w:ascii="Arial" w:eastAsia="Calibri" w:hAnsi="Arial" w:cs="Arial"/>
          <w:sz w:val="22"/>
          <w:szCs w:val="22"/>
          <w:lang w:eastAsia="en-US"/>
        </w:rPr>
        <w:t>échantillons ou cellules humaines</w:t>
      </w:r>
    </w:p>
    <w:p w14:paraId="29C61B4C" w14:textId="0313870E" w:rsidR="00516D94" w:rsidRPr="00516D94" w:rsidRDefault="00516D94" w:rsidP="00516D94">
      <w:pPr>
        <w:spacing w:after="160" w:line="259" w:lineRule="auto"/>
        <w:jc w:val="both"/>
        <w:rPr>
          <w:rFonts w:ascii="Arial" w:eastAsia="Calibri" w:hAnsi="Arial" w:cs="Arial"/>
          <w:sz w:val="22"/>
          <w:szCs w:val="22"/>
          <w:lang w:eastAsia="en-US"/>
        </w:rPr>
      </w:pPr>
      <w:r>
        <w:rPr>
          <w:rFonts w:ascii="Arial" w:eastAsia="Calibri" w:hAnsi="Arial" w:cs="Arial"/>
          <w:sz w:val="22"/>
          <w:szCs w:val="22"/>
          <w:lang w:eastAsia="en-US"/>
        </w:rPr>
        <w:t>La plateforme C</w:t>
      </w:r>
      <w:r w:rsidR="006E7679">
        <w:rPr>
          <w:rFonts w:ascii="Arial" w:eastAsia="Calibri" w:hAnsi="Arial" w:cs="Arial"/>
          <w:sz w:val="22"/>
          <w:szCs w:val="22"/>
          <w:lang w:eastAsia="en-US"/>
        </w:rPr>
        <w:t>RISPR-</w:t>
      </w:r>
      <w:r>
        <w:rPr>
          <w:rFonts w:ascii="Arial" w:eastAsia="Calibri" w:hAnsi="Arial" w:cs="Arial"/>
          <w:sz w:val="22"/>
          <w:szCs w:val="22"/>
          <w:lang w:eastAsia="en-US"/>
        </w:rPr>
        <w:t xml:space="preserve">Screen </w:t>
      </w:r>
      <w:proofErr w:type="spellStart"/>
      <w:r>
        <w:rPr>
          <w:rFonts w:ascii="Arial" w:eastAsia="Calibri" w:hAnsi="Arial" w:cs="Arial"/>
          <w:sz w:val="22"/>
          <w:szCs w:val="22"/>
          <w:lang w:eastAsia="en-US"/>
        </w:rPr>
        <w:t>Lab</w:t>
      </w:r>
      <w:r w:rsidR="006E7679">
        <w:rPr>
          <w:rFonts w:ascii="Arial" w:eastAsia="Calibri" w:hAnsi="Arial" w:cs="Arial"/>
          <w:sz w:val="22"/>
          <w:szCs w:val="22"/>
          <w:lang w:eastAsia="en-US"/>
        </w:rPr>
        <w:t>T</w:t>
      </w:r>
      <w:r>
        <w:rPr>
          <w:rFonts w:ascii="Arial" w:eastAsia="Calibri" w:hAnsi="Arial" w:cs="Arial"/>
          <w:sz w:val="22"/>
          <w:szCs w:val="22"/>
          <w:lang w:eastAsia="en-US"/>
        </w:rPr>
        <w:t>ech</w:t>
      </w:r>
      <w:proofErr w:type="spellEnd"/>
      <w:r>
        <w:rPr>
          <w:rFonts w:ascii="Arial" w:eastAsia="Calibri" w:hAnsi="Arial" w:cs="Arial"/>
          <w:sz w:val="22"/>
          <w:szCs w:val="22"/>
          <w:lang w:eastAsia="en-US"/>
        </w:rPr>
        <w:t xml:space="preserve"> dirigée par Sandrine </w:t>
      </w:r>
      <w:proofErr w:type="spellStart"/>
      <w:r>
        <w:rPr>
          <w:rFonts w:ascii="Arial" w:eastAsia="Calibri" w:hAnsi="Arial" w:cs="Arial"/>
          <w:sz w:val="22"/>
          <w:szCs w:val="22"/>
          <w:lang w:eastAsia="en-US"/>
        </w:rPr>
        <w:t>Roulland</w:t>
      </w:r>
      <w:proofErr w:type="spellEnd"/>
      <w:r>
        <w:rPr>
          <w:rFonts w:ascii="Arial" w:eastAsia="Calibri" w:hAnsi="Arial" w:cs="Arial"/>
          <w:sz w:val="22"/>
          <w:szCs w:val="22"/>
          <w:lang w:eastAsia="en-US"/>
        </w:rPr>
        <w:t xml:space="preserve"> </w:t>
      </w:r>
      <w:r w:rsidR="006E7679">
        <w:rPr>
          <w:rFonts w:ascii="Arial" w:eastAsia="Calibri" w:hAnsi="Arial" w:cs="Arial"/>
          <w:sz w:val="22"/>
          <w:szCs w:val="22"/>
          <w:lang w:eastAsia="en-US"/>
        </w:rPr>
        <w:t>et l</w:t>
      </w:r>
      <w:r w:rsidR="006E7679" w:rsidRPr="00516D94">
        <w:rPr>
          <w:rFonts w:ascii="Arial" w:eastAsia="Calibri" w:hAnsi="Arial" w:cs="Arial"/>
          <w:sz w:val="22"/>
          <w:szCs w:val="22"/>
          <w:lang w:eastAsia="en-US"/>
        </w:rPr>
        <w:t xml:space="preserve">'équipe de recherche dirigée par Pierre </w:t>
      </w:r>
      <w:proofErr w:type="spellStart"/>
      <w:r w:rsidR="006E7679" w:rsidRPr="00516D94">
        <w:rPr>
          <w:rFonts w:ascii="Arial" w:eastAsia="Calibri" w:hAnsi="Arial" w:cs="Arial"/>
          <w:sz w:val="22"/>
          <w:szCs w:val="22"/>
          <w:lang w:eastAsia="en-US"/>
        </w:rPr>
        <w:t>Milpied</w:t>
      </w:r>
      <w:proofErr w:type="spellEnd"/>
      <w:r w:rsidR="006E7679" w:rsidRPr="00516D94">
        <w:rPr>
          <w:rFonts w:ascii="Arial" w:eastAsia="Calibri" w:hAnsi="Arial" w:cs="Arial"/>
          <w:sz w:val="22"/>
          <w:szCs w:val="22"/>
          <w:lang w:eastAsia="en-US"/>
        </w:rPr>
        <w:t xml:space="preserve"> au CIML </w:t>
      </w:r>
      <w:r w:rsidRPr="00516D94">
        <w:rPr>
          <w:rFonts w:ascii="Arial" w:eastAsia="Calibri" w:hAnsi="Arial" w:cs="Arial"/>
          <w:sz w:val="22"/>
          <w:szCs w:val="22"/>
          <w:lang w:eastAsia="en-US"/>
        </w:rPr>
        <w:t>sollicite</w:t>
      </w:r>
      <w:r w:rsidR="006E7679">
        <w:rPr>
          <w:rFonts w:ascii="Arial" w:eastAsia="Calibri" w:hAnsi="Arial" w:cs="Arial"/>
          <w:sz w:val="22"/>
          <w:szCs w:val="22"/>
          <w:lang w:eastAsia="en-US"/>
        </w:rPr>
        <w:t>nt</w:t>
      </w:r>
      <w:r w:rsidRPr="00516D94">
        <w:rPr>
          <w:rFonts w:ascii="Arial" w:eastAsia="Calibri" w:hAnsi="Arial" w:cs="Arial"/>
          <w:sz w:val="22"/>
          <w:szCs w:val="22"/>
          <w:lang w:eastAsia="en-US"/>
        </w:rPr>
        <w:t xml:space="preserve"> l'acquisition d'un trieur de cellules humaines dans le cadre d'un cofinancement</w:t>
      </w:r>
      <w:r>
        <w:rPr>
          <w:rFonts w:ascii="Arial" w:eastAsia="Calibri" w:hAnsi="Arial" w:cs="Arial"/>
          <w:sz w:val="22"/>
          <w:szCs w:val="22"/>
          <w:lang w:eastAsia="en-US"/>
        </w:rPr>
        <w:t xml:space="preserve">. </w:t>
      </w:r>
      <w:r w:rsidRPr="00516D94">
        <w:rPr>
          <w:rFonts w:ascii="Arial" w:eastAsia="Calibri" w:hAnsi="Arial" w:cs="Arial"/>
          <w:sz w:val="22"/>
          <w:szCs w:val="22"/>
          <w:lang w:eastAsia="en-US"/>
        </w:rPr>
        <w:t xml:space="preserve">Cet équipement sera intégré à la plateforme de </w:t>
      </w:r>
      <w:proofErr w:type="spellStart"/>
      <w:r w:rsidRPr="00516D94">
        <w:rPr>
          <w:rFonts w:ascii="Arial" w:eastAsia="Calibri" w:hAnsi="Arial" w:cs="Arial"/>
          <w:sz w:val="22"/>
          <w:szCs w:val="22"/>
          <w:lang w:eastAsia="en-US"/>
        </w:rPr>
        <w:t>cytométrie</w:t>
      </w:r>
      <w:proofErr w:type="spellEnd"/>
      <w:r w:rsidRPr="00516D94">
        <w:rPr>
          <w:rFonts w:ascii="Arial" w:eastAsia="Calibri" w:hAnsi="Arial" w:cs="Arial"/>
          <w:sz w:val="22"/>
          <w:szCs w:val="22"/>
          <w:lang w:eastAsia="en-US"/>
        </w:rPr>
        <w:t xml:space="preserve"> existante </w:t>
      </w:r>
      <w:r w:rsidR="006E7679">
        <w:rPr>
          <w:rFonts w:ascii="Arial" w:eastAsia="Calibri" w:hAnsi="Arial" w:cs="Arial"/>
          <w:sz w:val="22"/>
          <w:szCs w:val="22"/>
          <w:lang w:eastAsia="en-US"/>
        </w:rPr>
        <w:t xml:space="preserve">au CIML </w:t>
      </w:r>
      <w:r w:rsidRPr="00516D94">
        <w:rPr>
          <w:rFonts w:ascii="Arial" w:eastAsia="Calibri" w:hAnsi="Arial" w:cs="Arial"/>
          <w:sz w:val="22"/>
          <w:szCs w:val="22"/>
          <w:lang w:eastAsia="en-US"/>
        </w:rPr>
        <w:t>pour répondre aux besoins spécifiques de recherche en immunologie et oncologie.</w:t>
      </w:r>
    </w:p>
    <w:p w14:paraId="6222A7B5" w14:textId="58DBC8BD" w:rsidR="00516D94" w:rsidRPr="00516D94" w:rsidRDefault="00516D94" w:rsidP="00516D94">
      <w:pPr>
        <w:spacing w:after="160" w:line="259" w:lineRule="auto"/>
        <w:jc w:val="both"/>
        <w:rPr>
          <w:rFonts w:ascii="Arial" w:eastAsia="Calibri" w:hAnsi="Arial" w:cs="Arial"/>
          <w:sz w:val="22"/>
          <w:szCs w:val="22"/>
          <w:lang w:eastAsia="en-US"/>
        </w:rPr>
      </w:pPr>
      <w:r w:rsidRPr="00516D94">
        <w:rPr>
          <w:rFonts w:ascii="Arial" w:eastAsia="Calibri" w:hAnsi="Arial" w:cs="Arial"/>
          <w:sz w:val="22"/>
          <w:szCs w:val="22"/>
          <w:lang w:eastAsia="en-US"/>
        </w:rPr>
        <w:t>L'équipement doit être conçu pour le tri de cellules humaines avec une capacité de tri single-</w:t>
      </w:r>
      <w:proofErr w:type="spellStart"/>
      <w:r w:rsidRPr="00516D94">
        <w:rPr>
          <w:rFonts w:ascii="Arial" w:eastAsia="Calibri" w:hAnsi="Arial" w:cs="Arial"/>
          <w:sz w:val="22"/>
          <w:szCs w:val="22"/>
          <w:lang w:eastAsia="en-US"/>
        </w:rPr>
        <w:t>cell</w:t>
      </w:r>
      <w:proofErr w:type="spellEnd"/>
      <w:r w:rsidRPr="00516D94">
        <w:rPr>
          <w:rFonts w:ascii="Arial" w:eastAsia="Calibri" w:hAnsi="Arial" w:cs="Arial"/>
          <w:sz w:val="22"/>
          <w:szCs w:val="22"/>
          <w:lang w:eastAsia="en-US"/>
        </w:rPr>
        <w:t xml:space="preserve"> (une cellule par puits), permettant des analyses à résolution cellulaire unique. La configuration doit être adaptée au traitement d'échantillons sanguins non qualifiés et d'échantillons tumoraux, ainsi qu'à la manipulation de cellules infectées par des virus.</w:t>
      </w:r>
      <w:r>
        <w:rPr>
          <w:rFonts w:ascii="Arial" w:eastAsia="Calibri" w:hAnsi="Arial" w:cs="Arial"/>
          <w:sz w:val="22"/>
          <w:szCs w:val="22"/>
          <w:lang w:eastAsia="en-US"/>
        </w:rPr>
        <w:t xml:space="preserve"> </w:t>
      </w:r>
      <w:r w:rsidRPr="00516D94">
        <w:rPr>
          <w:rFonts w:ascii="Arial" w:eastAsia="Calibri" w:hAnsi="Arial" w:cs="Arial"/>
          <w:sz w:val="22"/>
          <w:szCs w:val="22"/>
          <w:lang w:eastAsia="en-US"/>
        </w:rPr>
        <w:t xml:space="preserve">Le trieur doit </w:t>
      </w:r>
      <w:r>
        <w:rPr>
          <w:rFonts w:ascii="Arial" w:eastAsia="Calibri" w:hAnsi="Arial" w:cs="Arial"/>
          <w:sz w:val="22"/>
          <w:szCs w:val="22"/>
          <w:lang w:eastAsia="en-US"/>
        </w:rPr>
        <w:t xml:space="preserve">donc </w:t>
      </w:r>
      <w:r w:rsidRPr="00516D94">
        <w:rPr>
          <w:rFonts w:ascii="Arial" w:eastAsia="Calibri" w:hAnsi="Arial" w:cs="Arial"/>
          <w:sz w:val="22"/>
          <w:szCs w:val="22"/>
          <w:lang w:eastAsia="en-US"/>
        </w:rPr>
        <w:t>être conforme aux normes de sécurité biologique de niveau BSL-2 (</w:t>
      </w:r>
      <w:proofErr w:type="spellStart"/>
      <w:r w:rsidRPr="00516D94">
        <w:rPr>
          <w:rFonts w:ascii="Arial" w:eastAsia="Calibri" w:hAnsi="Arial" w:cs="Arial"/>
          <w:sz w:val="22"/>
          <w:szCs w:val="22"/>
          <w:lang w:eastAsia="en-US"/>
        </w:rPr>
        <w:t>Biosafety</w:t>
      </w:r>
      <w:proofErr w:type="spellEnd"/>
      <w:r w:rsidRPr="00516D94">
        <w:rPr>
          <w:rFonts w:ascii="Arial" w:eastAsia="Calibri" w:hAnsi="Arial" w:cs="Arial"/>
          <w:sz w:val="22"/>
          <w:szCs w:val="22"/>
          <w:lang w:eastAsia="en-US"/>
        </w:rPr>
        <w:t xml:space="preserve"> </w:t>
      </w:r>
      <w:proofErr w:type="spellStart"/>
      <w:r w:rsidRPr="00516D94">
        <w:rPr>
          <w:rFonts w:ascii="Arial" w:eastAsia="Calibri" w:hAnsi="Arial" w:cs="Arial"/>
          <w:sz w:val="22"/>
          <w:szCs w:val="22"/>
          <w:lang w:eastAsia="en-US"/>
        </w:rPr>
        <w:t>Level</w:t>
      </w:r>
      <w:proofErr w:type="spellEnd"/>
      <w:r w:rsidRPr="00516D94">
        <w:rPr>
          <w:rFonts w:ascii="Arial" w:eastAsia="Calibri" w:hAnsi="Arial" w:cs="Arial"/>
          <w:sz w:val="22"/>
          <w:szCs w:val="22"/>
          <w:lang w:eastAsia="en-US"/>
        </w:rPr>
        <w:t xml:space="preserve"> 2) pour permettre la manipulation sécurisée de matériel biologique potentiellement infectieux. Cette conformité est essentielle pour le traitement des échantillons </w:t>
      </w:r>
      <w:r w:rsidR="006E7679">
        <w:rPr>
          <w:rFonts w:ascii="Arial" w:eastAsia="Calibri" w:hAnsi="Arial" w:cs="Arial"/>
          <w:sz w:val="22"/>
          <w:szCs w:val="22"/>
          <w:lang w:eastAsia="en-US"/>
        </w:rPr>
        <w:t>infectés</w:t>
      </w:r>
      <w:r w:rsidRPr="00516D94">
        <w:rPr>
          <w:rFonts w:ascii="Arial" w:eastAsia="Calibri" w:hAnsi="Arial" w:cs="Arial"/>
          <w:sz w:val="22"/>
          <w:szCs w:val="22"/>
          <w:lang w:eastAsia="en-US"/>
        </w:rPr>
        <w:t xml:space="preserve"> et des prélèvements tumoraux dans un environnement contrôlé.</w:t>
      </w:r>
    </w:p>
    <w:p w14:paraId="2466DE26" w14:textId="7B5D0C0B" w:rsidR="00516D94" w:rsidRPr="00516D94" w:rsidRDefault="00516D94" w:rsidP="00516D94">
      <w:pPr>
        <w:spacing w:after="160" w:line="259" w:lineRule="auto"/>
        <w:jc w:val="both"/>
        <w:rPr>
          <w:rFonts w:ascii="Arial" w:eastAsia="Calibri" w:hAnsi="Arial" w:cs="Arial"/>
          <w:sz w:val="22"/>
          <w:szCs w:val="22"/>
          <w:lang w:eastAsia="en-US"/>
        </w:rPr>
      </w:pPr>
      <w:r w:rsidRPr="00516D94">
        <w:rPr>
          <w:rFonts w:ascii="Arial" w:eastAsia="Calibri" w:hAnsi="Arial" w:cs="Arial"/>
          <w:sz w:val="22"/>
          <w:szCs w:val="22"/>
          <w:lang w:eastAsia="en-US"/>
        </w:rPr>
        <w:t>L'interface utilisateur doit être intuitive et conviviale (user-</w:t>
      </w:r>
      <w:proofErr w:type="spellStart"/>
      <w:r w:rsidRPr="00516D94">
        <w:rPr>
          <w:rFonts w:ascii="Arial" w:eastAsia="Calibri" w:hAnsi="Arial" w:cs="Arial"/>
          <w:sz w:val="22"/>
          <w:szCs w:val="22"/>
          <w:lang w:eastAsia="en-US"/>
        </w:rPr>
        <w:t>friendly</w:t>
      </w:r>
      <w:proofErr w:type="spellEnd"/>
      <w:r w:rsidRPr="00516D94">
        <w:rPr>
          <w:rFonts w:ascii="Arial" w:eastAsia="Calibri" w:hAnsi="Arial" w:cs="Arial"/>
          <w:sz w:val="22"/>
          <w:szCs w:val="22"/>
          <w:lang w:eastAsia="en-US"/>
        </w:rPr>
        <w:t xml:space="preserve">) pour faciliter son utilisation par l'ensemble </w:t>
      </w:r>
      <w:r>
        <w:rPr>
          <w:rFonts w:ascii="Arial" w:eastAsia="Calibri" w:hAnsi="Arial" w:cs="Arial"/>
          <w:sz w:val="22"/>
          <w:szCs w:val="22"/>
          <w:lang w:eastAsia="en-US"/>
        </w:rPr>
        <w:t>des équipes</w:t>
      </w:r>
      <w:r w:rsidRPr="00516D94">
        <w:rPr>
          <w:rFonts w:ascii="Arial" w:eastAsia="Calibri" w:hAnsi="Arial" w:cs="Arial"/>
          <w:sz w:val="22"/>
          <w:szCs w:val="22"/>
          <w:lang w:eastAsia="en-US"/>
        </w:rPr>
        <w:t xml:space="preserve"> de recherche</w:t>
      </w:r>
      <w:r>
        <w:rPr>
          <w:rFonts w:ascii="Arial" w:eastAsia="Calibri" w:hAnsi="Arial" w:cs="Arial"/>
          <w:sz w:val="22"/>
          <w:szCs w:val="22"/>
          <w:lang w:eastAsia="en-US"/>
        </w:rPr>
        <w:t xml:space="preserve"> au CIML</w:t>
      </w:r>
      <w:r w:rsidRPr="00516D94">
        <w:rPr>
          <w:rFonts w:ascii="Arial" w:eastAsia="Calibri" w:hAnsi="Arial" w:cs="Arial"/>
          <w:sz w:val="22"/>
          <w:szCs w:val="22"/>
          <w:lang w:eastAsia="en-US"/>
        </w:rPr>
        <w:t>, optimisant ainsi la productivité et réduisant les temps de formation nécessaires.</w:t>
      </w:r>
    </w:p>
    <w:p w14:paraId="4E739ED9" w14:textId="02B0E763" w:rsidR="00A534BD" w:rsidRPr="00A534BD" w:rsidRDefault="00516D94" w:rsidP="00A534BD">
      <w:pPr>
        <w:spacing w:after="160" w:line="259" w:lineRule="auto"/>
        <w:jc w:val="both"/>
        <w:rPr>
          <w:rFonts w:ascii="Arial" w:eastAsia="Calibri" w:hAnsi="Arial" w:cs="Arial"/>
          <w:sz w:val="22"/>
          <w:szCs w:val="22"/>
          <w:lang w:eastAsia="en-US"/>
        </w:rPr>
      </w:pPr>
      <w:r w:rsidRPr="00516D94">
        <w:rPr>
          <w:rFonts w:ascii="Arial" w:eastAsia="Calibri" w:hAnsi="Arial" w:cs="Arial"/>
          <w:sz w:val="22"/>
          <w:szCs w:val="22"/>
          <w:lang w:eastAsia="en-US"/>
        </w:rPr>
        <w:t>Cette acquisition s'inscrit dans une démarche collaborative entre laboratoire de recherche et plateforme technologique, visant à renforcer les capacités d'analyse cellulaire haute résolution au sein de l'institut.</w:t>
      </w:r>
    </w:p>
    <w:p w14:paraId="6A46A07F" w14:textId="77777777" w:rsidR="00A534BD" w:rsidRPr="00A534BD" w:rsidRDefault="00A534BD" w:rsidP="00A534BD">
      <w:pPr>
        <w:spacing w:after="160" w:line="259" w:lineRule="auto"/>
        <w:jc w:val="both"/>
        <w:rPr>
          <w:rFonts w:ascii="Arial" w:eastAsia="Calibri" w:hAnsi="Arial" w:cs="Arial"/>
          <w:sz w:val="22"/>
          <w:szCs w:val="22"/>
          <w:lang w:eastAsia="en-US"/>
        </w:rPr>
      </w:pPr>
    </w:p>
    <w:p w14:paraId="32881801" w14:textId="77777777" w:rsidR="00A534BD" w:rsidRPr="00EB399B"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8" w:name="_Toc132907679"/>
      <w:bookmarkStart w:id="9" w:name="_Toc202194658"/>
      <w:r w:rsidRPr="00EB399B">
        <w:rPr>
          <w:rFonts w:ascii="Arial" w:hAnsi="Arial" w:cs="Arial"/>
          <w:b/>
          <w:bCs/>
          <w:caps/>
          <w:kern w:val="32"/>
          <w:sz w:val="22"/>
          <w:szCs w:val="22"/>
          <w:lang w:eastAsia="en-US"/>
        </w:rPr>
        <w:t>PERFORMANCES ET EXIGENCES FONCTIONNELLES MINIMALES de l’INSTRUMENT ET PRESTATIONS COMPLEMENTAIRES</w:t>
      </w:r>
      <w:bookmarkEnd w:id="8"/>
      <w:bookmarkEnd w:id="9"/>
    </w:p>
    <w:p w14:paraId="2A0DBF79" w14:textId="77777777" w:rsidR="00A534BD" w:rsidRPr="00EB399B" w:rsidRDefault="00A534BD" w:rsidP="00A534BD">
      <w:pPr>
        <w:tabs>
          <w:tab w:val="left" w:pos="1455"/>
        </w:tabs>
        <w:spacing w:after="160" w:line="259" w:lineRule="auto"/>
        <w:jc w:val="both"/>
        <w:rPr>
          <w:rFonts w:ascii="Arial" w:eastAsia="Calibri" w:hAnsi="Arial" w:cs="Arial"/>
          <w:sz w:val="22"/>
          <w:szCs w:val="22"/>
          <w:lang w:eastAsia="en-US"/>
        </w:rPr>
      </w:pPr>
    </w:p>
    <w:p w14:paraId="3712B119" w14:textId="6DFC7CD2" w:rsidR="00A534BD" w:rsidRPr="00EB399B" w:rsidRDefault="00A534BD" w:rsidP="000479FB">
      <w:pPr>
        <w:keepNext/>
        <w:keepLines/>
        <w:numPr>
          <w:ilvl w:val="1"/>
          <w:numId w:val="4"/>
        </w:numPr>
        <w:spacing w:before="40" w:after="160" w:line="259" w:lineRule="auto"/>
        <w:jc w:val="both"/>
        <w:outlineLvl w:val="1"/>
        <w:rPr>
          <w:rFonts w:ascii="Arial" w:hAnsi="Arial" w:cs="Arial"/>
          <w:b/>
          <w:bCs/>
          <w:i/>
          <w:iCs/>
          <w:color w:val="000000"/>
          <w:spacing w:val="5"/>
          <w:sz w:val="22"/>
          <w:szCs w:val="26"/>
          <w:lang w:eastAsia="en-US"/>
        </w:rPr>
      </w:pPr>
      <w:bookmarkStart w:id="10" w:name="_Toc132907680"/>
      <w:bookmarkStart w:id="11" w:name="_Toc202194659"/>
      <w:r w:rsidRPr="00EB399B">
        <w:rPr>
          <w:rFonts w:ascii="Arial" w:hAnsi="Arial" w:cs="Arial"/>
          <w:b/>
          <w:bCs/>
          <w:i/>
          <w:iCs/>
          <w:color w:val="000000"/>
          <w:spacing w:val="5"/>
          <w:sz w:val="22"/>
          <w:szCs w:val="26"/>
          <w:lang w:eastAsia="en-US"/>
        </w:rPr>
        <w:t>Performances et exigences fonctionnelles minimales de l’instrument</w:t>
      </w:r>
      <w:bookmarkEnd w:id="10"/>
      <w:bookmarkEnd w:id="11"/>
    </w:p>
    <w:p w14:paraId="6320D86F" w14:textId="5B4F698C" w:rsidR="00A534BD" w:rsidRDefault="00A534BD" w:rsidP="00A534BD">
      <w:pPr>
        <w:tabs>
          <w:tab w:val="left" w:pos="1455"/>
        </w:tabs>
        <w:spacing w:before="240"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 xml:space="preserve">L’instrument proposé par le titulaire devra répondre aux performances et exigences minimales suivantes : </w:t>
      </w:r>
    </w:p>
    <w:p w14:paraId="0A3E4577" w14:textId="063AD8A8" w:rsidR="009A6BE8" w:rsidRDefault="009A6BE8" w:rsidP="000479FB">
      <w:pPr>
        <w:pStyle w:val="Paragraphedeliste"/>
        <w:numPr>
          <w:ilvl w:val="0"/>
          <w:numId w:val="7"/>
        </w:numPr>
        <w:rPr>
          <w:rFonts w:ascii="Arial" w:hAnsi="Arial" w:cs="Arial"/>
        </w:rPr>
      </w:pPr>
      <w:proofErr w:type="gramStart"/>
      <w:r>
        <w:rPr>
          <w:rFonts w:ascii="Arial" w:hAnsi="Arial" w:cs="Arial"/>
        </w:rPr>
        <w:lastRenderedPageBreak/>
        <w:t>être</w:t>
      </w:r>
      <w:proofErr w:type="gramEnd"/>
      <w:r w:rsidR="00AF3034" w:rsidRPr="009A6BE8">
        <w:rPr>
          <w:rFonts w:ascii="Arial" w:hAnsi="Arial" w:cs="Arial"/>
        </w:rPr>
        <w:t xml:space="preserve"> un trieur de cellules à haute vitesse</w:t>
      </w:r>
    </w:p>
    <w:p w14:paraId="30D52841" w14:textId="77777777" w:rsidR="00AF4CFC" w:rsidRPr="00AF4CFC" w:rsidRDefault="00AF4CFC" w:rsidP="00AF4CFC">
      <w:pPr>
        <w:rPr>
          <w:rFonts w:ascii="Arial" w:hAnsi="Arial" w:cs="Arial"/>
        </w:rPr>
      </w:pPr>
    </w:p>
    <w:p w14:paraId="36D368AB" w14:textId="77777777" w:rsidR="009A6BE8" w:rsidRDefault="009A6BE8" w:rsidP="000479FB">
      <w:pPr>
        <w:pStyle w:val="Paragraphedeliste"/>
        <w:numPr>
          <w:ilvl w:val="0"/>
          <w:numId w:val="7"/>
        </w:numPr>
        <w:rPr>
          <w:rFonts w:ascii="Arial" w:hAnsi="Arial" w:cs="Arial"/>
        </w:rPr>
      </w:pPr>
      <w:proofErr w:type="gramStart"/>
      <w:r>
        <w:rPr>
          <w:rFonts w:ascii="Arial" w:hAnsi="Arial" w:cs="Arial"/>
        </w:rPr>
        <w:t>posséder</w:t>
      </w:r>
      <w:proofErr w:type="gramEnd"/>
      <w:r>
        <w:rPr>
          <w:rFonts w:ascii="Arial" w:hAnsi="Arial" w:cs="Arial"/>
        </w:rPr>
        <w:t xml:space="preserve"> </w:t>
      </w:r>
      <w:r w:rsidR="00AF3034" w:rsidRPr="009A6BE8">
        <w:rPr>
          <w:rFonts w:ascii="Arial" w:hAnsi="Arial" w:cs="Arial"/>
        </w:rPr>
        <w:t>des buses permettant de trier des cellules de différentes tailles de 6µm à 20µm avec différentes pressions en fonction de la fragilité des cellules.</w:t>
      </w:r>
    </w:p>
    <w:p w14:paraId="76727B28" w14:textId="77777777" w:rsidR="00AF4CFC" w:rsidRPr="00AF4CFC" w:rsidRDefault="00AF4CFC" w:rsidP="00AF4CFC">
      <w:pPr>
        <w:rPr>
          <w:rFonts w:ascii="Arial" w:hAnsi="Arial" w:cs="Arial"/>
        </w:rPr>
      </w:pPr>
    </w:p>
    <w:p w14:paraId="2AE9F6A1" w14:textId="77777777" w:rsidR="00610D39" w:rsidRDefault="00AF3034" w:rsidP="000479FB">
      <w:pPr>
        <w:pStyle w:val="Paragraphedeliste"/>
        <w:numPr>
          <w:ilvl w:val="0"/>
          <w:numId w:val="7"/>
        </w:numPr>
        <w:rPr>
          <w:rFonts w:ascii="Arial" w:hAnsi="Arial" w:cs="Arial"/>
        </w:rPr>
      </w:pPr>
      <w:proofErr w:type="gramStart"/>
      <w:r w:rsidRPr="009A6BE8">
        <w:rPr>
          <w:rFonts w:ascii="Arial" w:hAnsi="Arial" w:cs="Arial"/>
        </w:rPr>
        <w:t>avoir</w:t>
      </w:r>
      <w:proofErr w:type="gramEnd"/>
      <w:r w:rsidRPr="009A6BE8">
        <w:rPr>
          <w:rFonts w:ascii="Arial" w:hAnsi="Arial" w:cs="Arial"/>
        </w:rPr>
        <w:t xml:space="preserve"> au minimum 12 paramètres (FSC, SSC + 10 couleurs minimum)</w:t>
      </w:r>
    </w:p>
    <w:p w14:paraId="7C853E25" w14:textId="77777777" w:rsidR="00AF4CFC" w:rsidRPr="00AF4CFC" w:rsidRDefault="00AF4CFC" w:rsidP="00AF4CFC">
      <w:pPr>
        <w:ind w:left="360"/>
        <w:rPr>
          <w:rFonts w:ascii="Arial" w:hAnsi="Arial" w:cs="Arial"/>
        </w:rPr>
      </w:pPr>
    </w:p>
    <w:p w14:paraId="648878FF" w14:textId="205EC022" w:rsidR="00610D39" w:rsidRDefault="00AF3034" w:rsidP="000479FB">
      <w:pPr>
        <w:pStyle w:val="Paragraphedeliste"/>
        <w:numPr>
          <w:ilvl w:val="0"/>
          <w:numId w:val="7"/>
        </w:numPr>
        <w:rPr>
          <w:rFonts w:ascii="Arial" w:hAnsi="Arial" w:cs="Arial"/>
        </w:rPr>
      </w:pPr>
      <w:proofErr w:type="gramStart"/>
      <w:r w:rsidRPr="009A6BE8">
        <w:rPr>
          <w:rFonts w:ascii="Arial" w:hAnsi="Arial" w:cs="Arial"/>
        </w:rPr>
        <w:t>doit</w:t>
      </w:r>
      <w:proofErr w:type="gramEnd"/>
      <w:r w:rsidRPr="009A6BE8">
        <w:rPr>
          <w:rFonts w:ascii="Arial" w:hAnsi="Arial" w:cs="Arial"/>
        </w:rPr>
        <w:t xml:space="preserve"> être capable de trier sur la base de la </w:t>
      </w:r>
      <w:proofErr w:type="spellStart"/>
      <w:r w:rsidRPr="009A6BE8">
        <w:rPr>
          <w:rFonts w:ascii="Arial" w:hAnsi="Arial" w:cs="Arial"/>
        </w:rPr>
        <w:t>co</w:t>
      </w:r>
      <w:proofErr w:type="spellEnd"/>
      <w:r w:rsidRPr="009A6BE8">
        <w:rPr>
          <w:rFonts w:ascii="Arial" w:hAnsi="Arial" w:cs="Arial"/>
        </w:rPr>
        <w:t>-expression de plusieurs protéines fluorescentes sur une même cellule (</w:t>
      </w:r>
      <w:proofErr w:type="spellStart"/>
      <w:r w:rsidRPr="009A6BE8">
        <w:rPr>
          <w:rFonts w:ascii="Arial" w:hAnsi="Arial" w:cs="Arial"/>
        </w:rPr>
        <w:t>eGFP</w:t>
      </w:r>
      <w:proofErr w:type="spellEnd"/>
      <w:r w:rsidRPr="009A6BE8">
        <w:rPr>
          <w:rFonts w:ascii="Arial" w:hAnsi="Arial" w:cs="Arial"/>
        </w:rPr>
        <w:t xml:space="preserve">/YFP/BFP et </w:t>
      </w:r>
      <w:proofErr w:type="spellStart"/>
      <w:r w:rsidRPr="009A6BE8">
        <w:rPr>
          <w:rFonts w:ascii="Arial" w:hAnsi="Arial" w:cs="Arial"/>
        </w:rPr>
        <w:t>mCherry</w:t>
      </w:r>
      <w:proofErr w:type="spellEnd"/>
      <w:r w:rsidRPr="009A6BE8">
        <w:rPr>
          <w:rFonts w:ascii="Arial" w:hAnsi="Arial" w:cs="Arial"/>
        </w:rPr>
        <w:t>)</w:t>
      </w:r>
    </w:p>
    <w:p w14:paraId="18ADE442" w14:textId="77777777" w:rsidR="00AF4CFC" w:rsidRDefault="00AF4CFC" w:rsidP="00AF4CFC">
      <w:pPr>
        <w:pStyle w:val="Paragraphedeliste"/>
        <w:ind w:left="720"/>
        <w:rPr>
          <w:rFonts w:ascii="Arial" w:hAnsi="Arial" w:cs="Arial"/>
        </w:rPr>
      </w:pPr>
    </w:p>
    <w:p w14:paraId="715DBE13" w14:textId="621A7305" w:rsidR="00610D39" w:rsidRDefault="00610D39" w:rsidP="000479FB">
      <w:pPr>
        <w:pStyle w:val="Paragraphedeliste"/>
        <w:numPr>
          <w:ilvl w:val="0"/>
          <w:numId w:val="7"/>
        </w:numPr>
        <w:rPr>
          <w:rFonts w:ascii="Arial" w:hAnsi="Arial" w:cs="Arial"/>
        </w:rPr>
      </w:pPr>
      <w:proofErr w:type="gramStart"/>
      <w:r>
        <w:rPr>
          <w:rFonts w:ascii="Arial" w:hAnsi="Arial" w:cs="Arial"/>
        </w:rPr>
        <w:t>l</w:t>
      </w:r>
      <w:r w:rsidR="00AF3034" w:rsidRPr="009A6BE8">
        <w:rPr>
          <w:rFonts w:ascii="Arial" w:hAnsi="Arial" w:cs="Arial"/>
        </w:rPr>
        <w:t>e</w:t>
      </w:r>
      <w:proofErr w:type="gramEnd"/>
      <w:r w:rsidR="00AF3034" w:rsidRPr="009A6BE8">
        <w:rPr>
          <w:rFonts w:ascii="Arial" w:hAnsi="Arial" w:cs="Arial"/>
        </w:rPr>
        <w:t xml:space="preserve"> tri doit pouvoir se faire en tubes (1.5mL, 5mL et 15mL) et en plaques (96 et 384 puits)</w:t>
      </w:r>
      <w:r>
        <w:rPr>
          <w:rFonts w:ascii="Arial" w:hAnsi="Arial" w:cs="Arial"/>
        </w:rPr>
        <w:t> </w:t>
      </w:r>
    </w:p>
    <w:p w14:paraId="4F3B55E9" w14:textId="77777777" w:rsidR="00AF4CFC" w:rsidRDefault="00AF4CFC" w:rsidP="00AF4CFC">
      <w:pPr>
        <w:pStyle w:val="Paragraphedeliste"/>
        <w:ind w:left="720"/>
        <w:rPr>
          <w:rFonts w:ascii="Arial" w:hAnsi="Arial" w:cs="Arial"/>
        </w:rPr>
      </w:pPr>
    </w:p>
    <w:p w14:paraId="3A0083AB" w14:textId="0411C0B7" w:rsidR="00610D39" w:rsidRDefault="00610D39" w:rsidP="000479FB">
      <w:pPr>
        <w:pStyle w:val="Paragraphedeliste"/>
        <w:numPr>
          <w:ilvl w:val="0"/>
          <w:numId w:val="7"/>
        </w:numPr>
        <w:rPr>
          <w:rFonts w:ascii="Arial" w:hAnsi="Arial" w:cs="Arial"/>
        </w:rPr>
      </w:pPr>
      <w:proofErr w:type="gramStart"/>
      <w:r>
        <w:rPr>
          <w:rFonts w:ascii="Arial" w:hAnsi="Arial" w:cs="Arial"/>
        </w:rPr>
        <w:t>p</w:t>
      </w:r>
      <w:r w:rsidR="00AF3034" w:rsidRPr="009A6BE8">
        <w:rPr>
          <w:rFonts w:ascii="Arial" w:hAnsi="Arial" w:cs="Arial"/>
        </w:rPr>
        <w:t>our</w:t>
      </w:r>
      <w:proofErr w:type="gramEnd"/>
      <w:r w:rsidR="00AF3034" w:rsidRPr="009A6BE8">
        <w:rPr>
          <w:rFonts w:ascii="Arial" w:hAnsi="Arial" w:cs="Arial"/>
        </w:rPr>
        <w:t xml:space="preserve"> le tri en plaque, il doit être muni d’un système d’index </w:t>
      </w:r>
      <w:proofErr w:type="spellStart"/>
      <w:r w:rsidR="00AF3034" w:rsidRPr="009A6BE8">
        <w:rPr>
          <w:rFonts w:ascii="Arial" w:hAnsi="Arial" w:cs="Arial"/>
        </w:rPr>
        <w:t>sorting</w:t>
      </w:r>
      <w:proofErr w:type="spellEnd"/>
    </w:p>
    <w:p w14:paraId="7F16ACAA" w14:textId="77777777" w:rsidR="00AF4CFC" w:rsidRDefault="00AF4CFC" w:rsidP="00AF4CFC">
      <w:pPr>
        <w:pStyle w:val="Paragraphedeliste"/>
        <w:ind w:left="720"/>
        <w:rPr>
          <w:rFonts w:ascii="Arial" w:hAnsi="Arial" w:cs="Arial"/>
        </w:rPr>
      </w:pPr>
    </w:p>
    <w:p w14:paraId="7708C848" w14:textId="77777777" w:rsidR="00610D39" w:rsidRDefault="00AF3034" w:rsidP="000479FB">
      <w:pPr>
        <w:pStyle w:val="Paragraphedeliste"/>
        <w:numPr>
          <w:ilvl w:val="0"/>
          <w:numId w:val="7"/>
        </w:numPr>
        <w:rPr>
          <w:rFonts w:ascii="Arial" w:hAnsi="Arial" w:cs="Arial"/>
        </w:rPr>
      </w:pPr>
      <w:proofErr w:type="gramStart"/>
      <w:r w:rsidRPr="009A6BE8">
        <w:rPr>
          <w:rFonts w:ascii="Arial" w:hAnsi="Arial" w:cs="Arial"/>
        </w:rPr>
        <w:t>être</w:t>
      </w:r>
      <w:proofErr w:type="gramEnd"/>
      <w:r w:rsidRPr="009A6BE8">
        <w:rPr>
          <w:rFonts w:ascii="Arial" w:hAnsi="Arial" w:cs="Arial"/>
        </w:rPr>
        <w:t xml:space="preserve"> équipé d’un système de refroidissement des tubes de collecte à 4°C</w:t>
      </w:r>
    </w:p>
    <w:p w14:paraId="0A299641" w14:textId="77777777" w:rsidR="00AF4CFC" w:rsidRDefault="00AF4CFC" w:rsidP="00AF4CFC">
      <w:pPr>
        <w:pStyle w:val="Paragraphedeliste"/>
        <w:ind w:left="720"/>
        <w:rPr>
          <w:rFonts w:ascii="Arial" w:hAnsi="Arial" w:cs="Arial"/>
        </w:rPr>
      </w:pPr>
    </w:p>
    <w:p w14:paraId="26F85AAF" w14:textId="2B1C2D85" w:rsidR="00610D39" w:rsidRDefault="00610D39" w:rsidP="000479FB">
      <w:pPr>
        <w:pStyle w:val="Paragraphedeliste"/>
        <w:numPr>
          <w:ilvl w:val="0"/>
          <w:numId w:val="7"/>
        </w:numPr>
        <w:rPr>
          <w:rFonts w:ascii="Arial" w:hAnsi="Arial" w:cs="Arial"/>
        </w:rPr>
      </w:pPr>
      <w:proofErr w:type="gramStart"/>
      <w:r w:rsidRPr="009A6BE8">
        <w:rPr>
          <w:rFonts w:ascii="Arial" w:hAnsi="Arial" w:cs="Arial"/>
        </w:rPr>
        <w:t>être</w:t>
      </w:r>
      <w:proofErr w:type="gramEnd"/>
      <w:r w:rsidRPr="009A6BE8">
        <w:rPr>
          <w:rFonts w:ascii="Arial" w:hAnsi="Arial" w:cs="Arial"/>
        </w:rPr>
        <w:t xml:space="preserve"> facile d’utilisation au démarrage, à la décontamination et permettre un changement facile de configuration de tri pour des multi-utilisateurs dans une même journée</w:t>
      </w:r>
    </w:p>
    <w:p w14:paraId="5D934BD9" w14:textId="77777777" w:rsidR="00AF4CFC" w:rsidRPr="00AF4CFC" w:rsidRDefault="00AF4CFC" w:rsidP="00AF4CFC">
      <w:pPr>
        <w:ind w:left="360"/>
        <w:rPr>
          <w:rFonts w:ascii="Arial" w:hAnsi="Arial" w:cs="Arial"/>
        </w:rPr>
      </w:pPr>
    </w:p>
    <w:p w14:paraId="33F638E5" w14:textId="730B1504" w:rsidR="004F43A0" w:rsidRDefault="004F43A0" w:rsidP="000479FB">
      <w:pPr>
        <w:pStyle w:val="Paragraphedeliste"/>
        <w:numPr>
          <w:ilvl w:val="0"/>
          <w:numId w:val="7"/>
        </w:numPr>
        <w:rPr>
          <w:rFonts w:ascii="Arial" w:hAnsi="Arial" w:cs="Arial"/>
        </w:rPr>
      </w:pPr>
      <w:r>
        <w:rPr>
          <w:rFonts w:ascii="Arial" w:hAnsi="Arial" w:cs="Arial"/>
        </w:rPr>
        <w:t>L’instrument sera sous PSM en condition BSL2 et devra rentrer dans les dimensions suivantes (L x l x h : 130 x 110 x 85) ou bien le vendeur s'engage à nous fournir un PSM adapté à l’instrument</w:t>
      </w:r>
    </w:p>
    <w:p w14:paraId="4FCADD9D" w14:textId="77777777" w:rsidR="00610D39" w:rsidRPr="00610D39" w:rsidRDefault="00610D39" w:rsidP="00610D39">
      <w:pPr>
        <w:pStyle w:val="Paragraphedeliste"/>
        <w:ind w:left="720"/>
        <w:rPr>
          <w:rFonts w:ascii="Arial" w:hAnsi="Arial" w:cs="Arial"/>
        </w:rPr>
      </w:pPr>
    </w:p>
    <w:p w14:paraId="1C55C2DA" w14:textId="1B51B454" w:rsidR="00610D39" w:rsidRDefault="00610D39" w:rsidP="000479FB">
      <w:pPr>
        <w:pStyle w:val="Paragraphedeliste"/>
        <w:numPr>
          <w:ilvl w:val="0"/>
          <w:numId w:val="7"/>
        </w:numPr>
        <w:rPr>
          <w:rFonts w:ascii="Arial" w:hAnsi="Arial" w:cs="Arial"/>
        </w:rPr>
      </w:pPr>
      <w:r w:rsidRPr="009A6BE8">
        <w:rPr>
          <w:rFonts w:ascii="Arial" w:hAnsi="Arial" w:cs="Arial"/>
        </w:rPr>
        <w:t>Le logiciel doit être facile d’utilisation pour les utilisateurs</w:t>
      </w:r>
      <w:r>
        <w:rPr>
          <w:rFonts w:ascii="Arial" w:hAnsi="Arial" w:cs="Arial"/>
        </w:rPr>
        <w:t xml:space="preserve"> </w:t>
      </w:r>
      <w:r w:rsidRPr="009A6BE8">
        <w:rPr>
          <w:rFonts w:ascii="Arial" w:hAnsi="Arial" w:cs="Arial"/>
        </w:rPr>
        <w:t>avec si possible un mode Admin pour l’ingénieur de plateforme</w:t>
      </w:r>
    </w:p>
    <w:p w14:paraId="122B1A5E" w14:textId="77777777" w:rsidR="004F43A0" w:rsidRPr="004F43A0" w:rsidRDefault="004F43A0" w:rsidP="004F43A0">
      <w:pPr>
        <w:pStyle w:val="Paragraphedeliste"/>
        <w:rPr>
          <w:rFonts w:ascii="Arial" w:hAnsi="Arial" w:cs="Arial"/>
        </w:rPr>
      </w:pPr>
    </w:p>
    <w:p w14:paraId="6C245791" w14:textId="026C22E8" w:rsidR="004F43A0" w:rsidRPr="004F43A0" w:rsidRDefault="004F43A0" w:rsidP="000479FB">
      <w:pPr>
        <w:pStyle w:val="Paragraphedeliste"/>
        <w:numPr>
          <w:ilvl w:val="0"/>
          <w:numId w:val="7"/>
        </w:numPr>
        <w:rPr>
          <w:rFonts w:ascii="Arial" w:hAnsi="Arial" w:cs="Arial"/>
        </w:rPr>
      </w:pPr>
      <w:bookmarkStart w:id="12" w:name="_Hlk202193106"/>
      <w:r w:rsidRPr="004F43A0">
        <w:rPr>
          <w:rFonts w:ascii="Arial" w:hAnsi="Arial" w:cs="Arial"/>
        </w:rPr>
        <w:t>La formation sur l’instrument doit être faite sur site (5 personnes minimum).</w:t>
      </w:r>
    </w:p>
    <w:bookmarkEnd w:id="12"/>
    <w:p w14:paraId="08ADE4B1" w14:textId="4940574D" w:rsidR="004F43A0" w:rsidRDefault="004F43A0" w:rsidP="00C444EE">
      <w:pPr>
        <w:pStyle w:val="Paragraphedeliste"/>
        <w:ind w:left="720"/>
        <w:rPr>
          <w:rFonts w:ascii="Arial" w:hAnsi="Arial" w:cs="Arial"/>
        </w:rPr>
      </w:pPr>
    </w:p>
    <w:p w14:paraId="79C47035" w14:textId="260D1449" w:rsidR="00610D39" w:rsidRDefault="00610D39" w:rsidP="00610D39">
      <w:pPr>
        <w:pStyle w:val="Paragraphedeliste"/>
        <w:ind w:left="720"/>
        <w:rPr>
          <w:rFonts w:ascii="Arial" w:hAnsi="Arial" w:cs="Arial"/>
        </w:rPr>
      </w:pPr>
    </w:p>
    <w:p w14:paraId="11F9DADB" w14:textId="5ED008AA" w:rsidR="00A534BD" w:rsidRPr="00A534BD" w:rsidRDefault="00A534BD" w:rsidP="00A325BA">
      <w:pPr>
        <w:rPr>
          <w:rFonts w:ascii="Arial" w:eastAsia="Calibri" w:hAnsi="Arial" w:cs="Arial"/>
          <w:sz w:val="22"/>
          <w:szCs w:val="22"/>
          <w:lang w:eastAsia="en-US"/>
        </w:rPr>
      </w:pPr>
      <w:r w:rsidRPr="00A534BD">
        <w:rPr>
          <w:rFonts w:ascii="Arial" w:eastAsia="Calibri" w:hAnsi="Arial" w:cs="Arial"/>
          <w:sz w:val="22"/>
          <w:szCs w:val="22"/>
          <w:lang w:eastAsia="en-US"/>
        </w:rPr>
        <w:t>Les engagements du titulaire en matière de caractéristiques et performance de l’instrument qu’il propose en cohérence avec les exigences et performances minimales décrites ci-dessus sont décrits dans son offre technique et en particulier dans le cadre de réponse technique remis à l’appui de son offre (parties 2 et 3).</w:t>
      </w:r>
    </w:p>
    <w:p w14:paraId="394DB4CA" w14:textId="77777777"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p>
    <w:p w14:paraId="04717F39" w14:textId="2DCCCA21" w:rsidR="00A534BD" w:rsidRPr="00170931" w:rsidRDefault="00A534BD" w:rsidP="000479FB">
      <w:pPr>
        <w:keepNext/>
        <w:keepLines/>
        <w:numPr>
          <w:ilvl w:val="1"/>
          <w:numId w:val="4"/>
        </w:numPr>
        <w:spacing w:before="40" w:after="160" w:line="259" w:lineRule="auto"/>
        <w:jc w:val="both"/>
        <w:outlineLvl w:val="1"/>
        <w:rPr>
          <w:rFonts w:ascii="Arial" w:hAnsi="Arial" w:cs="Arial"/>
          <w:b/>
          <w:bCs/>
          <w:i/>
          <w:iCs/>
          <w:color w:val="000000"/>
          <w:spacing w:val="5"/>
          <w:sz w:val="22"/>
          <w:szCs w:val="26"/>
          <w:lang w:eastAsia="en-US"/>
        </w:rPr>
      </w:pPr>
      <w:bookmarkStart w:id="13" w:name="_Toc132907681"/>
      <w:bookmarkStart w:id="14" w:name="_Toc202194660"/>
      <w:r w:rsidRPr="00170931">
        <w:rPr>
          <w:rFonts w:ascii="Arial" w:hAnsi="Arial" w:cs="Arial"/>
          <w:b/>
          <w:bCs/>
          <w:i/>
          <w:iCs/>
          <w:color w:val="000000"/>
          <w:spacing w:val="5"/>
          <w:sz w:val="22"/>
          <w:szCs w:val="26"/>
          <w:lang w:eastAsia="en-US"/>
        </w:rPr>
        <w:t>Prestations complémentaires à l’instrument</w:t>
      </w:r>
      <w:bookmarkEnd w:id="13"/>
      <w:bookmarkEnd w:id="14"/>
    </w:p>
    <w:p w14:paraId="67BEA9A2" w14:textId="77777777" w:rsidR="000479FB" w:rsidRDefault="000479FB" w:rsidP="000479FB">
      <w:pPr>
        <w:tabs>
          <w:tab w:val="left" w:pos="1455"/>
        </w:tabs>
        <w:spacing w:before="240" w:after="160" w:line="256" w:lineRule="auto"/>
        <w:jc w:val="both"/>
        <w:rPr>
          <w:rFonts w:ascii="Arial" w:eastAsia="Calibri" w:hAnsi="Arial" w:cs="Arial"/>
          <w:sz w:val="22"/>
          <w:szCs w:val="22"/>
          <w:lang w:eastAsia="en-US"/>
        </w:rPr>
      </w:pPr>
      <w:bookmarkStart w:id="15" w:name="_Hlk201238166"/>
      <w:r>
        <w:rPr>
          <w:rFonts w:ascii="Arial" w:eastAsia="Calibri" w:hAnsi="Arial" w:cs="Arial"/>
          <w:sz w:val="22"/>
          <w:szCs w:val="22"/>
          <w:lang w:eastAsia="en-US"/>
        </w:rPr>
        <w:t>Le marché subséquent comprend les tranches optionnelles suivantes :</w:t>
      </w:r>
    </w:p>
    <w:p w14:paraId="01A8524F" w14:textId="77777777" w:rsidR="000479FB" w:rsidRDefault="000479FB" w:rsidP="000479FB">
      <w:pPr>
        <w:tabs>
          <w:tab w:val="left" w:pos="1455"/>
        </w:tabs>
        <w:spacing w:after="160" w:line="256" w:lineRule="auto"/>
        <w:jc w:val="both"/>
        <w:rPr>
          <w:rFonts w:ascii="Arial" w:eastAsia="Calibri" w:hAnsi="Arial" w:cs="Arial"/>
          <w:sz w:val="22"/>
          <w:szCs w:val="22"/>
          <w:lang w:eastAsia="en-US"/>
        </w:rPr>
      </w:pPr>
      <w:r>
        <w:rPr>
          <w:rFonts w:ascii="Arial" w:eastAsia="Calibri" w:hAnsi="Arial" w:cs="Arial"/>
          <w:sz w:val="22"/>
          <w:szCs w:val="22"/>
          <w:lang w:eastAsia="en-US"/>
        </w:rPr>
        <w:t>Tranche optionnelle n° 1 : extension de garantie d’un an supplémentaire</w:t>
      </w:r>
    </w:p>
    <w:p w14:paraId="316A4710" w14:textId="77777777" w:rsidR="000479FB" w:rsidRDefault="000479FB" w:rsidP="000479FB">
      <w:pPr>
        <w:tabs>
          <w:tab w:val="left" w:pos="1455"/>
        </w:tabs>
        <w:spacing w:after="160" w:line="256" w:lineRule="auto"/>
        <w:jc w:val="both"/>
        <w:rPr>
          <w:rFonts w:ascii="Arial" w:eastAsia="Calibri" w:hAnsi="Arial" w:cs="Arial"/>
          <w:sz w:val="22"/>
          <w:szCs w:val="22"/>
          <w:lang w:eastAsia="en-US"/>
        </w:rPr>
      </w:pPr>
      <w:r>
        <w:rPr>
          <w:rFonts w:ascii="Arial" w:eastAsia="Calibri" w:hAnsi="Arial" w:cs="Arial"/>
          <w:sz w:val="22"/>
          <w:szCs w:val="22"/>
          <w:lang w:eastAsia="en-US"/>
        </w:rPr>
        <w:t>Tranche optionnelle n° 2 : extension de garantie d’un an supplémentaire</w:t>
      </w:r>
    </w:p>
    <w:p w14:paraId="55350AA7" w14:textId="77777777" w:rsidR="000479FB" w:rsidRDefault="000479FB" w:rsidP="000479FB">
      <w:pPr>
        <w:spacing w:after="160" w:line="25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Les exigences minimales concernant la garantie supplémentaire d’un an sont : </w:t>
      </w:r>
    </w:p>
    <w:p w14:paraId="6EE685D7" w14:textId="77777777" w:rsidR="000479FB" w:rsidRDefault="000479FB" w:rsidP="000479FB">
      <w:pPr>
        <w:pStyle w:val="Paragraphedeliste"/>
        <w:numPr>
          <w:ilvl w:val="0"/>
          <w:numId w:val="8"/>
        </w:numPr>
        <w:spacing w:after="160" w:line="256" w:lineRule="auto"/>
        <w:jc w:val="both"/>
        <w:rPr>
          <w:rFonts w:ascii="Arial" w:eastAsia="Calibri" w:hAnsi="Arial" w:cs="Arial"/>
          <w:sz w:val="22"/>
          <w:szCs w:val="22"/>
          <w:lang w:eastAsia="en-US"/>
        </w:rPr>
      </w:pPr>
      <w:r>
        <w:rPr>
          <w:rFonts w:ascii="Arial" w:eastAsia="Calibri" w:hAnsi="Arial" w:cs="Arial"/>
          <w:sz w:val="22"/>
          <w:szCs w:val="22"/>
          <w:lang w:eastAsia="en-US"/>
        </w:rPr>
        <w:t>Maintenance préventive</w:t>
      </w:r>
    </w:p>
    <w:p w14:paraId="1CA9711C" w14:textId="77777777" w:rsidR="000479FB" w:rsidRDefault="000479FB" w:rsidP="000479FB">
      <w:pPr>
        <w:pStyle w:val="Paragraphedeliste"/>
        <w:numPr>
          <w:ilvl w:val="0"/>
          <w:numId w:val="8"/>
        </w:numPr>
        <w:spacing w:after="160" w:line="256" w:lineRule="auto"/>
        <w:jc w:val="both"/>
        <w:rPr>
          <w:rFonts w:ascii="Arial" w:eastAsia="Calibri" w:hAnsi="Arial" w:cs="Arial"/>
          <w:sz w:val="22"/>
          <w:szCs w:val="22"/>
          <w:lang w:eastAsia="en-US"/>
        </w:rPr>
      </w:pPr>
      <w:r>
        <w:rPr>
          <w:rFonts w:ascii="Arial" w:eastAsia="Calibri" w:hAnsi="Arial" w:cs="Arial"/>
          <w:sz w:val="22"/>
          <w:szCs w:val="22"/>
          <w:lang w:eastAsia="en-US"/>
        </w:rPr>
        <w:t>Maintenance corrective</w:t>
      </w:r>
    </w:p>
    <w:p w14:paraId="2B64F725" w14:textId="77777777" w:rsidR="000479FB" w:rsidRDefault="000479FB" w:rsidP="000479FB">
      <w:pPr>
        <w:pStyle w:val="Paragraphedeliste"/>
        <w:numPr>
          <w:ilvl w:val="0"/>
          <w:numId w:val="8"/>
        </w:numPr>
        <w:spacing w:after="160" w:line="25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Mise à jour du logiciel </w:t>
      </w:r>
    </w:p>
    <w:p w14:paraId="636A6DDB" w14:textId="6C5C0B54" w:rsidR="00060F1F" w:rsidRDefault="00060F1F" w:rsidP="00060F1F">
      <w:pPr>
        <w:tabs>
          <w:tab w:val="left" w:pos="1455"/>
        </w:tabs>
        <w:spacing w:after="160" w:line="256" w:lineRule="auto"/>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Les engagements du titulaire en matière de services proposés pendant la période de garantie des tranches optionnelles sont décrits dans son offre technique et en particulier dans le cadre de réponse technique remis à l’appui de son offre (partie </w:t>
      </w:r>
      <w:proofErr w:type="gramStart"/>
      <w:r>
        <w:rPr>
          <w:rFonts w:ascii="Arial" w:eastAsia="Calibri" w:hAnsi="Arial" w:cs="Arial"/>
          <w:sz w:val="22"/>
          <w:szCs w:val="22"/>
          <w:lang w:eastAsia="en-US"/>
        </w:rPr>
        <w:t>5.</w:t>
      </w:r>
      <w:r w:rsidR="0098777C">
        <w:rPr>
          <w:rFonts w:ascii="Arial" w:eastAsia="Calibri" w:hAnsi="Arial" w:cs="Arial"/>
          <w:sz w:val="22"/>
          <w:szCs w:val="22"/>
          <w:lang w:eastAsia="en-US"/>
        </w:rPr>
        <w:t>4</w:t>
      </w:r>
      <w:r>
        <w:rPr>
          <w:rFonts w:ascii="Arial" w:eastAsia="Calibri" w:hAnsi="Arial" w:cs="Arial"/>
          <w:sz w:val="22"/>
          <w:szCs w:val="22"/>
          <w:lang w:eastAsia="en-US"/>
        </w:rPr>
        <w:t xml:space="preserve"> )</w:t>
      </w:r>
      <w:proofErr w:type="gramEnd"/>
      <w:r>
        <w:rPr>
          <w:rFonts w:ascii="Arial" w:eastAsia="Calibri" w:hAnsi="Arial" w:cs="Arial"/>
          <w:sz w:val="22"/>
          <w:szCs w:val="22"/>
          <w:lang w:eastAsia="en-US"/>
        </w:rPr>
        <w:t>.</w:t>
      </w:r>
    </w:p>
    <w:p w14:paraId="0DFA16A6" w14:textId="1170DE8B" w:rsidR="00AF3034" w:rsidRPr="00AF3034" w:rsidRDefault="00AF3034" w:rsidP="004F43A0">
      <w:pPr>
        <w:tabs>
          <w:tab w:val="left" w:pos="1455"/>
        </w:tabs>
        <w:spacing w:after="160" w:line="259" w:lineRule="auto"/>
        <w:ind w:left="1440"/>
        <w:contextualSpacing/>
        <w:jc w:val="both"/>
        <w:rPr>
          <w:rFonts w:ascii="Arial" w:eastAsia="Calibri" w:hAnsi="Arial" w:cs="Arial"/>
          <w:sz w:val="22"/>
          <w:szCs w:val="22"/>
          <w:lang w:eastAsia="en-US"/>
        </w:rPr>
      </w:pPr>
    </w:p>
    <w:p w14:paraId="418340EE" w14:textId="77777777" w:rsidR="00A534BD" w:rsidRPr="00A534BD"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16" w:name="_Toc132907682"/>
      <w:bookmarkStart w:id="17" w:name="_Toc202194661"/>
      <w:bookmarkEnd w:id="15"/>
      <w:r w:rsidRPr="00A534BD">
        <w:rPr>
          <w:rFonts w:ascii="Arial" w:hAnsi="Arial" w:cs="Arial"/>
          <w:b/>
          <w:bCs/>
          <w:caps/>
          <w:kern w:val="32"/>
          <w:sz w:val="22"/>
          <w:szCs w:val="22"/>
          <w:lang w:eastAsia="en-US"/>
        </w:rPr>
        <w:t>Modalités de livraison</w:t>
      </w:r>
      <w:bookmarkEnd w:id="16"/>
      <w:bookmarkEnd w:id="17"/>
    </w:p>
    <w:p w14:paraId="635ED395" w14:textId="468E1D05" w:rsidR="00A534BD" w:rsidRPr="00A534BD" w:rsidRDefault="00A534BD" w:rsidP="00A534BD">
      <w:pPr>
        <w:spacing w:before="240"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 xml:space="preserve">La livraison est assurée par le titulaire dans les conditions de l’article </w:t>
      </w:r>
      <w:r w:rsidR="00D26757" w:rsidRPr="00D26757">
        <w:rPr>
          <w:rFonts w:ascii="Arial" w:eastAsia="Calibri" w:hAnsi="Arial" w:cs="Arial"/>
          <w:sz w:val="22"/>
          <w:szCs w:val="22"/>
          <w:lang w:eastAsia="en-US"/>
        </w:rPr>
        <w:t xml:space="preserve">14.12 </w:t>
      </w:r>
      <w:r w:rsidRPr="00A534BD">
        <w:rPr>
          <w:rFonts w:ascii="Arial" w:eastAsia="Calibri" w:hAnsi="Arial" w:cs="Arial"/>
          <w:i/>
          <w:sz w:val="22"/>
          <w:szCs w:val="22"/>
          <w:lang w:eastAsia="en-US"/>
        </w:rPr>
        <w:t>Conditions de livraison</w:t>
      </w:r>
      <w:r w:rsidRPr="00A534BD">
        <w:rPr>
          <w:rFonts w:ascii="Arial" w:eastAsia="Calibri" w:hAnsi="Arial" w:cs="Arial"/>
          <w:sz w:val="22"/>
          <w:szCs w:val="22"/>
          <w:lang w:eastAsia="en-US"/>
        </w:rPr>
        <w:t xml:space="preserve"> du CCP.</w:t>
      </w:r>
    </w:p>
    <w:p w14:paraId="6C641902" w14:textId="77777777" w:rsidR="00CA25EB" w:rsidRDefault="00A534BD" w:rsidP="00CA25EB">
      <w:pPr>
        <w:jc w:val="both"/>
        <w:rPr>
          <w:rFonts w:ascii="Arial" w:eastAsia="Calibri" w:hAnsi="Arial" w:cs="Arial"/>
          <w:sz w:val="22"/>
          <w:szCs w:val="22"/>
          <w:lang w:eastAsia="en-US"/>
        </w:rPr>
      </w:pPr>
      <w:r w:rsidRPr="00A534BD">
        <w:rPr>
          <w:rFonts w:ascii="Arial" w:eastAsia="Calibri" w:hAnsi="Arial" w:cs="Arial"/>
          <w:sz w:val="22"/>
          <w:szCs w:val="22"/>
          <w:lang w:eastAsia="en-US"/>
        </w:rPr>
        <w:t>L’instrument devra être livré à l’adresse suivante :</w:t>
      </w:r>
      <w:r w:rsidR="00CA25EB">
        <w:rPr>
          <w:rFonts w:ascii="Arial" w:eastAsia="Calibri" w:hAnsi="Arial" w:cs="Arial"/>
          <w:sz w:val="22"/>
          <w:szCs w:val="22"/>
          <w:lang w:eastAsia="en-US"/>
        </w:rPr>
        <w:t xml:space="preserve"> CIML - Centre d’Immunologie de Marseille – Luminy – Parc scientifique et technologique de Luminy, Case 906, 13288 MARSEILLE Cedex 09</w:t>
      </w:r>
    </w:p>
    <w:p w14:paraId="47E7F543" w14:textId="5720557D" w:rsidR="00A534BD" w:rsidRPr="00A534BD" w:rsidRDefault="00A534BD" w:rsidP="00A534BD">
      <w:pPr>
        <w:spacing w:before="240" w:after="160" w:line="259" w:lineRule="auto"/>
        <w:jc w:val="both"/>
        <w:rPr>
          <w:rFonts w:ascii="Arial" w:eastAsia="Calibri" w:hAnsi="Arial" w:cs="Arial"/>
          <w:sz w:val="22"/>
          <w:szCs w:val="22"/>
          <w:lang w:eastAsia="en-US"/>
        </w:rPr>
      </w:pPr>
    </w:p>
    <w:p w14:paraId="28B8E807" w14:textId="4BCD1B1B" w:rsidR="00A534BD" w:rsidRPr="002A60A6" w:rsidRDefault="002A60A6" w:rsidP="000479FB">
      <w:pPr>
        <w:pStyle w:val="Corpsdetexte"/>
        <w:numPr>
          <w:ilvl w:val="0"/>
          <w:numId w:val="2"/>
        </w:numPr>
        <w:ind w:left="360"/>
        <w:rPr>
          <w:rFonts w:ascii="Arial" w:hAnsi="Arial" w:cs="Arial"/>
          <w:b/>
          <w:color w:val="0070C0"/>
          <w:spacing w:val="-4"/>
          <w:sz w:val="22"/>
          <w:szCs w:val="22"/>
        </w:rPr>
      </w:pPr>
      <w:r w:rsidRPr="00DA060E">
        <w:rPr>
          <w:rFonts w:ascii="Arial" w:hAnsi="Arial" w:cs="Arial"/>
          <w:spacing w:val="-4"/>
          <w:sz w:val="22"/>
          <w:szCs w:val="22"/>
        </w:rPr>
        <w:t xml:space="preserve">Heure d’ouverture du site d’implantation : </w:t>
      </w:r>
      <w:r w:rsidR="00AF3034">
        <w:rPr>
          <w:rFonts w:ascii="Arial" w:hAnsi="Arial" w:cs="Arial"/>
          <w:b/>
          <w:color w:val="0070C0"/>
          <w:sz w:val="22"/>
          <w:szCs w:val="22"/>
        </w:rPr>
        <w:t>9h00-17h00</w:t>
      </w:r>
    </w:p>
    <w:p w14:paraId="10139EE8" w14:textId="77777777" w:rsidR="002A60A6" w:rsidRPr="002A60A6" w:rsidRDefault="002A60A6" w:rsidP="002A60A6">
      <w:pPr>
        <w:pStyle w:val="Corpsdetexte"/>
        <w:ind w:left="360"/>
        <w:rPr>
          <w:rFonts w:ascii="Arial" w:hAnsi="Arial" w:cs="Arial"/>
          <w:b/>
          <w:color w:val="0070C0"/>
          <w:spacing w:val="-4"/>
          <w:sz w:val="22"/>
          <w:szCs w:val="22"/>
        </w:rPr>
      </w:pPr>
    </w:p>
    <w:p w14:paraId="58AA2278" w14:textId="58571E8B"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 xml:space="preserve">L’offre sur laquelle s’engage le titulaire en matière de transport et livraison est décrite dans le cadre de réponse technique remis à l’appui de son offre (partie </w:t>
      </w:r>
      <w:r w:rsidR="00BC7136">
        <w:rPr>
          <w:rFonts w:ascii="Arial" w:eastAsia="Calibri" w:hAnsi="Arial" w:cs="Arial"/>
          <w:sz w:val="22"/>
          <w:szCs w:val="22"/>
          <w:lang w:eastAsia="en-US"/>
        </w:rPr>
        <w:t>8</w:t>
      </w:r>
      <w:r w:rsidRPr="00A534BD">
        <w:rPr>
          <w:rFonts w:ascii="Arial" w:eastAsia="Calibri" w:hAnsi="Arial" w:cs="Arial"/>
          <w:sz w:val="22"/>
          <w:szCs w:val="22"/>
          <w:lang w:eastAsia="en-US"/>
        </w:rPr>
        <w:t>).</w:t>
      </w:r>
    </w:p>
    <w:p w14:paraId="11F92BD7" w14:textId="68CE6463" w:rsidR="00A534BD" w:rsidRDefault="00A534BD" w:rsidP="00A534BD">
      <w:pPr>
        <w:spacing w:after="160" w:line="259" w:lineRule="auto"/>
        <w:jc w:val="both"/>
        <w:rPr>
          <w:rFonts w:ascii="Arial" w:eastAsia="Calibri" w:hAnsi="Arial" w:cs="Arial"/>
          <w:sz w:val="22"/>
          <w:szCs w:val="22"/>
          <w:lang w:eastAsia="en-US"/>
        </w:rPr>
      </w:pPr>
    </w:p>
    <w:p w14:paraId="50EE26B8" w14:textId="77777777" w:rsidR="00A534BD" w:rsidRPr="00A534BD" w:rsidRDefault="00A534BD" w:rsidP="00A534BD">
      <w:pPr>
        <w:spacing w:after="160" w:line="259" w:lineRule="auto"/>
        <w:jc w:val="both"/>
        <w:rPr>
          <w:rFonts w:ascii="Arial" w:eastAsia="Calibri" w:hAnsi="Arial" w:cs="Arial"/>
          <w:sz w:val="22"/>
          <w:szCs w:val="22"/>
          <w:lang w:eastAsia="en-US"/>
        </w:rPr>
      </w:pPr>
    </w:p>
    <w:p w14:paraId="1F138D35" w14:textId="5B937859" w:rsidR="00A534BD"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18" w:name="_Toc132907683"/>
      <w:bookmarkStart w:id="19" w:name="_Toc202194662"/>
      <w:r w:rsidRPr="00A534BD">
        <w:rPr>
          <w:rFonts w:ascii="Arial" w:hAnsi="Arial" w:cs="Arial"/>
          <w:b/>
          <w:bCs/>
          <w:caps/>
          <w:kern w:val="32"/>
          <w:sz w:val="22"/>
          <w:szCs w:val="22"/>
          <w:lang w:eastAsia="en-US"/>
        </w:rPr>
        <w:t>Délais d’exécution</w:t>
      </w:r>
      <w:bookmarkEnd w:id="18"/>
      <w:bookmarkEnd w:id="19"/>
    </w:p>
    <w:p w14:paraId="437CC613" w14:textId="77777777" w:rsidR="00A534BD" w:rsidRPr="00A534BD" w:rsidRDefault="00A534BD" w:rsidP="00A534BD">
      <w:pPr>
        <w:rPr>
          <w:lang w:eastAsia="en-US"/>
        </w:rPr>
      </w:pPr>
    </w:p>
    <w:p w14:paraId="4C1CE346" w14:textId="77777777" w:rsidR="00A534BD" w:rsidRPr="00A534BD" w:rsidRDefault="00A534BD" w:rsidP="00A534BD">
      <w:pPr>
        <w:keepNext/>
        <w:keepLines/>
        <w:spacing w:before="40" w:line="259" w:lineRule="auto"/>
        <w:ind w:left="360"/>
        <w:jc w:val="both"/>
        <w:outlineLvl w:val="1"/>
        <w:rPr>
          <w:rFonts w:ascii="Arial" w:hAnsi="Arial" w:cs="Arial"/>
          <w:b/>
          <w:bCs/>
          <w:i/>
          <w:iCs/>
          <w:vanish/>
          <w:color w:val="000000"/>
          <w:spacing w:val="5"/>
          <w:sz w:val="22"/>
          <w:szCs w:val="26"/>
          <w:lang w:eastAsia="en-US"/>
        </w:rPr>
      </w:pPr>
    </w:p>
    <w:p w14:paraId="0B47D70A" w14:textId="77777777" w:rsidR="00A534BD" w:rsidRPr="00A534BD" w:rsidRDefault="00A534BD" w:rsidP="000479FB">
      <w:pPr>
        <w:keepNext/>
        <w:keepLines/>
        <w:numPr>
          <w:ilvl w:val="1"/>
          <w:numId w:val="5"/>
        </w:numPr>
        <w:spacing w:before="40" w:after="160" w:line="259" w:lineRule="auto"/>
        <w:jc w:val="both"/>
        <w:outlineLvl w:val="1"/>
        <w:rPr>
          <w:rFonts w:ascii="Arial" w:hAnsi="Arial" w:cs="Arial"/>
          <w:b/>
          <w:bCs/>
          <w:i/>
          <w:iCs/>
          <w:color w:val="000000"/>
          <w:spacing w:val="5"/>
          <w:sz w:val="22"/>
          <w:szCs w:val="26"/>
          <w:lang w:eastAsia="en-US"/>
        </w:rPr>
      </w:pPr>
      <w:bookmarkStart w:id="20" w:name="_Toc132907684"/>
      <w:bookmarkStart w:id="21" w:name="_Toc202194663"/>
      <w:r w:rsidRPr="00A534BD">
        <w:rPr>
          <w:rFonts w:ascii="Arial" w:hAnsi="Arial" w:cs="Arial"/>
          <w:b/>
          <w:bCs/>
          <w:i/>
          <w:iCs/>
          <w:color w:val="000000"/>
          <w:spacing w:val="5"/>
          <w:sz w:val="22"/>
          <w:szCs w:val="26"/>
          <w:lang w:eastAsia="en-US"/>
        </w:rPr>
        <w:t>Délai d’exécution concernant l’installation (mise en ordre de marche) de l’équipement</w:t>
      </w:r>
      <w:bookmarkEnd w:id="20"/>
      <w:bookmarkEnd w:id="21"/>
    </w:p>
    <w:p w14:paraId="5E114F9B" w14:textId="54AA48F2" w:rsidR="00A534BD" w:rsidRPr="00A534BD" w:rsidRDefault="00A534BD" w:rsidP="00A534BD">
      <w:pPr>
        <w:spacing w:before="240"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 xml:space="preserve">Les exigences minimales concernant les délais d’exécution du marché </w:t>
      </w:r>
      <w:r w:rsidR="00152BF6">
        <w:rPr>
          <w:rFonts w:ascii="Arial" w:eastAsia="Calibri" w:hAnsi="Arial" w:cs="Arial"/>
          <w:sz w:val="22"/>
          <w:szCs w:val="22"/>
          <w:lang w:eastAsia="en-US"/>
        </w:rPr>
        <w:t>sont mentionnées à l’article 1.4</w:t>
      </w:r>
      <w:r w:rsidRPr="00A534BD">
        <w:rPr>
          <w:rFonts w:ascii="Arial" w:eastAsia="Calibri" w:hAnsi="Arial" w:cs="Arial"/>
          <w:sz w:val="22"/>
          <w:szCs w:val="22"/>
          <w:lang w:eastAsia="en-US"/>
        </w:rPr>
        <w:t xml:space="preserve">.2 du CST du présent marché subséquent. </w:t>
      </w:r>
    </w:p>
    <w:p w14:paraId="5927D742" w14:textId="77777777"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Les délais d’exécution sur lequel s’engage le titulaire sont décrits dans le cadre de réponse technique remis à l’appui de son offre (partie 8).</w:t>
      </w:r>
    </w:p>
    <w:p w14:paraId="6879D2AB" w14:textId="77777777" w:rsidR="00A534BD" w:rsidRPr="00A534BD" w:rsidRDefault="00A534BD" w:rsidP="00A534BD">
      <w:pPr>
        <w:spacing w:after="160" w:line="259" w:lineRule="auto"/>
        <w:jc w:val="both"/>
        <w:rPr>
          <w:rFonts w:ascii="Arial" w:eastAsia="Calibri" w:hAnsi="Arial" w:cs="Arial"/>
          <w:sz w:val="22"/>
          <w:szCs w:val="22"/>
          <w:lang w:eastAsia="en-US"/>
        </w:rPr>
      </w:pPr>
    </w:p>
    <w:p w14:paraId="2493E634" w14:textId="77777777" w:rsidR="00A534BD" w:rsidRPr="00A534BD" w:rsidRDefault="00A534BD" w:rsidP="000479FB">
      <w:pPr>
        <w:keepNext/>
        <w:keepLines/>
        <w:numPr>
          <w:ilvl w:val="1"/>
          <w:numId w:val="5"/>
        </w:numPr>
        <w:spacing w:before="40" w:after="160" w:line="259" w:lineRule="auto"/>
        <w:jc w:val="both"/>
        <w:outlineLvl w:val="1"/>
        <w:rPr>
          <w:rFonts w:ascii="Arial" w:hAnsi="Arial" w:cs="Arial"/>
          <w:b/>
          <w:bCs/>
          <w:i/>
          <w:iCs/>
          <w:color w:val="000000"/>
          <w:spacing w:val="5"/>
          <w:sz w:val="22"/>
          <w:szCs w:val="26"/>
          <w:lang w:eastAsia="en-US"/>
        </w:rPr>
      </w:pPr>
      <w:bookmarkStart w:id="22" w:name="_Toc132907685"/>
      <w:bookmarkStart w:id="23" w:name="_Toc202194664"/>
      <w:r w:rsidRPr="00A534BD">
        <w:rPr>
          <w:rFonts w:ascii="Arial" w:hAnsi="Arial" w:cs="Arial"/>
          <w:b/>
          <w:bCs/>
          <w:i/>
          <w:iCs/>
          <w:color w:val="000000"/>
          <w:spacing w:val="5"/>
          <w:sz w:val="22"/>
          <w:szCs w:val="26"/>
          <w:lang w:eastAsia="en-US"/>
        </w:rPr>
        <w:t>Délai d’intervention en cas de panne</w:t>
      </w:r>
      <w:bookmarkEnd w:id="22"/>
      <w:bookmarkEnd w:id="23"/>
    </w:p>
    <w:p w14:paraId="58F32AF0" w14:textId="69247D71" w:rsidR="00A534BD" w:rsidRPr="00A534BD" w:rsidRDefault="00A534BD" w:rsidP="00A534BD">
      <w:pPr>
        <w:spacing w:before="240"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Les exigences minimales en matière de délai d’intervention en cas de pann</w:t>
      </w:r>
      <w:r w:rsidR="00152BF6">
        <w:rPr>
          <w:rFonts w:ascii="Arial" w:eastAsia="Calibri" w:hAnsi="Arial" w:cs="Arial"/>
          <w:sz w:val="22"/>
          <w:szCs w:val="22"/>
          <w:lang w:eastAsia="en-US"/>
        </w:rPr>
        <w:t>e sont précisées à l’article 1.4</w:t>
      </w:r>
      <w:r w:rsidRPr="00A534BD">
        <w:rPr>
          <w:rFonts w:ascii="Arial" w:eastAsia="Calibri" w:hAnsi="Arial" w:cs="Arial"/>
          <w:sz w:val="22"/>
          <w:szCs w:val="22"/>
          <w:lang w:eastAsia="en-US"/>
        </w:rPr>
        <w:t>.1 du CST du présent marché subséquent.</w:t>
      </w:r>
    </w:p>
    <w:p w14:paraId="03C30F0F" w14:textId="77777777" w:rsidR="00A534BD" w:rsidRPr="00A534BD" w:rsidRDefault="00A534BD" w:rsidP="00A534BD">
      <w:pPr>
        <w:spacing w:after="160" w:line="259" w:lineRule="auto"/>
        <w:jc w:val="both"/>
        <w:rPr>
          <w:rFonts w:ascii="Arial" w:eastAsia="Calibri" w:hAnsi="Arial" w:cs="Arial"/>
          <w:sz w:val="22"/>
          <w:szCs w:val="22"/>
          <w:lang w:eastAsia="en-US"/>
        </w:rPr>
      </w:pPr>
    </w:p>
    <w:p w14:paraId="6D256C11" w14:textId="3DEEC525"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Les délais d’intervention en cas de panne sur lesquels s’engage le titulaire sont décrits dans le cadre de réponse technique remis à l’appui de son offre (partie 5).</w:t>
      </w:r>
    </w:p>
    <w:p w14:paraId="4FAFBC2A" w14:textId="5BCCB25A" w:rsidR="00A534BD" w:rsidRDefault="00A534BD" w:rsidP="00A534BD">
      <w:pPr>
        <w:spacing w:after="160" w:line="259" w:lineRule="auto"/>
        <w:jc w:val="both"/>
        <w:rPr>
          <w:rFonts w:ascii="Arial" w:eastAsia="Calibri" w:hAnsi="Arial" w:cs="Arial"/>
          <w:sz w:val="22"/>
          <w:szCs w:val="22"/>
          <w:lang w:eastAsia="en-US"/>
        </w:rPr>
      </w:pPr>
    </w:p>
    <w:p w14:paraId="56E30F25" w14:textId="77777777" w:rsidR="00A534BD" w:rsidRPr="00A534BD" w:rsidRDefault="00A534BD" w:rsidP="00A534BD">
      <w:pPr>
        <w:spacing w:after="160" w:line="259" w:lineRule="auto"/>
        <w:jc w:val="both"/>
        <w:rPr>
          <w:rFonts w:ascii="Arial" w:eastAsia="Calibri" w:hAnsi="Arial" w:cs="Arial"/>
          <w:sz w:val="22"/>
          <w:szCs w:val="22"/>
          <w:lang w:eastAsia="en-US"/>
        </w:rPr>
      </w:pPr>
    </w:p>
    <w:p w14:paraId="23D277FE" w14:textId="77777777" w:rsidR="00A534BD" w:rsidRPr="00A534BD"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24" w:name="_Toc132907686"/>
      <w:bookmarkStart w:id="25" w:name="_Toc202194665"/>
      <w:r w:rsidRPr="00A534BD">
        <w:rPr>
          <w:rFonts w:ascii="Arial" w:hAnsi="Arial" w:cs="Arial"/>
          <w:b/>
          <w:bCs/>
          <w:caps/>
          <w:kern w:val="32"/>
          <w:sz w:val="22"/>
          <w:szCs w:val="22"/>
          <w:lang w:eastAsia="en-US"/>
        </w:rPr>
        <w:t>Formation ET documentation</w:t>
      </w:r>
      <w:bookmarkEnd w:id="24"/>
      <w:bookmarkEnd w:id="25"/>
    </w:p>
    <w:p w14:paraId="5C5211DB" w14:textId="77777777" w:rsidR="00A534BD" w:rsidRPr="00A534BD" w:rsidRDefault="00A534BD" w:rsidP="00A534BD">
      <w:pPr>
        <w:spacing w:before="240"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 xml:space="preserve">Les exigences minimales concernant la formation à l’utilisation de l’instrument sont les suivantes. </w:t>
      </w:r>
    </w:p>
    <w:p w14:paraId="5383DC71" w14:textId="77777777" w:rsidR="00A534BD" w:rsidRPr="00A534BD" w:rsidRDefault="00A534BD" w:rsidP="00A534BD">
      <w:pPr>
        <w:autoSpaceDE w:val="0"/>
        <w:autoSpaceDN w:val="0"/>
        <w:adjustRightInd w:val="0"/>
        <w:rPr>
          <w:rFonts w:ascii="Arial" w:eastAsia="Calibri" w:hAnsi="Arial" w:cs="Arial"/>
          <w:color w:val="000000"/>
          <w:sz w:val="22"/>
          <w:szCs w:val="22"/>
          <w:lang w:eastAsia="en-US"/>
        </w:rPr>
      </w:pPr>
      <w:r w:rsidRPr="00A534BD">
        <w:rPr>
          <w:rFonts w:ascii="Arial" w:eastAsia="Calibri" w:hAnsi="Arial" w:cs="Arial"/>
          <w:color w:val="000000"/>
          <w:sz w:val="22"/>
          <w:szCs w:val="22"/>
          <w:lang w:eastAsia="en-US"/>
        </w:rPr>
        <w:t xml:space="preserve">Le marché subséquent inclut à la charge du Titulaire la dispense de deux formations : </w:t>
      </w:r>
    </w:p>
    <w:p w14:paraId="04ACCBBF" w14:textId="77777777" w:rsidR="00A534BD" w:rsidRPr="00A534BD" w:rsidRDefault="00A534BD" w:rsidP="000479FB">
      <w:pPr>
        <w:numPr>
          <w:ilvl w:val="0"/>
          <w:numId w:val="6"/>
        </w:numPr>
        <w:autoSpaceDE w:val="0"/>
        <w:autoSpaceDN w:val="0"/>
        <w:adjustRightInd w:val="0"/>
        <w:spacing w:before="240" w:after="160" w:line="259" w:lineRule="auto"/>
        <w:rPr>
          <w:rFonts w:ascii="Arial" w:eastAsia="Calibri" w:hAnsi="Arial" w:cs="Arial"/>
          <w:color w:val="000000"/>
          <w:sz w:val="22"/>
          <w:szCs w:val="22"/>
          <w:lang w:eastAsia="en-US"/>
        </w:rPr>
      </w:pPr>
      <w:r w:rsidRPr="00A534BD">
        <w:rPr>
          <w:rFonts w:ascii="Arial" w:eastAsia="Calibri" w:hAnsi="Arial" w:cs="Arial"/>
          <w:color w:val="000000"/>
          <w:sz w:val="22"/>
          <w:szCs w:val="22"/>
          <w:lang w:eastAsia="en-US"/>
        </w:rPr>
        <w:lastRenderedPageBreak/>
        <w:t xml:space="preserve">Une formation à l’utilisation de l’instrument et ou de son/ses logiciel(s) ; </w:t>
      </w:r>
    </w:p>
    <w:p w14:paraId="7411190D" w14:textId="77777777" w:rsidR="00A534BD" w:rsidRPr="00A534BD" w:rsidRDefault="00A534BD" w:rsidP="000479FB">
      <w:pPr>
        <w:numPr>
          <w:ilvl w:val="0"/>
          <w:numId w:val="6"/>
        </w:numPr>
        <w:autoSpaceDE w:val="0"/>
        <w:autoSpaceDN w:val="0"/>
        <w:adjustRightInd w:val="0"/>
        <w:spacing w:after="160" w:line="259" w:lineRule="auto"/>
        <w:rPr>
          <w:rFonts w:ascii="Arial" w:eastAsia="Calibri" w:hAnsi="Arial" w:cs="Arial"/>
          <w:color w:val="000000"/>
          <w:sz w:val="22"/>
          <w:szCs w:val="22"/>
          <w:lang w:eastAsia="en-US"/>
        </w:rPr>
      </w:pPr>
      <w:r w:rsidRPr="00A534BD">
        <w:rPr>
          <w:rFonts w:ascii="Arial" w:eastAsia="Calibri" w:hAnsi="Arial" w:cs="Arial"/>
          <w:color w:val="000000"/>
          <w:sz w:val="22"/>
          <w:szCs w:val="22"/>
          <w:lang w:eastAsia="en-US"/>
        </w:rPr>
        <w:t xml:space="preserve">Une seconde formation à la maintenance de premier niveau </w:t>
      </w:r>
    </w:p>
    <w:p w14:paraId="4EFB108B" w14:textId="77777777" w:rsidR="00A534BD" w:rsidRPr="00A534BD" w:rsidRDefault="00A534BD" w:rsidP="00A534BD">
      <w:pPr>
        <w:spacing w:after="160" w:line="259" w:lineRule="auto"/>
        <w:ind w:left="360"/>
        <w:jc w:val="both"/>
        <w:rPr>
          <w:rFonts w:ascii="Arial" w:eastAsia="Calibri" w:hAnsi="Arial" w:cs="Arial"/>
          <w:sz w:val="22"/>
          <w:szCs w:val="22"/>
          <w:lang w:eastAsia="en-US"/>
        </w:rPr>
      </w:pPr>
    </w:p>
    <w:p w14:paraId="7B716653" w14:textId="77777777" w:rsidR="00A534BD" w:rsidRPr="00A534BD" w:rsidRDefault="00A534BD" w:rsidP="00A534BD">
      <w:pPr>
        <w:spacing w:before="240"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Les exigences minimales concernant la documentation relative à l’instrument sont les suivantes :</w:t>
      </w:r>
    </w:p>
    <w:p w14:paraId="778130C8" w14:textId="77777777" w:rsidR="00640CC2" w:rsidRPr="004F43A0" w:rsidRDefault="00640CC2" w:rsidP="00640CC2">
      <w:pPr>
        <w:pStyle w:val="Paragraphedeliste"/>
        <w:numPr>
          <w:ilvl w:val="0"/>
          <w:numId w:val="7"/>
        </w:numPr>
        <w:rPr>
          <w:rFonts w:ascii="Arial" w:hAnsi="Arial" w:cs="Arial"/>
        </w:rPr>
      </w:pPr>
      <w:r w:rsidRPr="004F43A0">
        <w:rPr>
          <w:rFonts w:ascii="Arial" w:hAnsi="Arial" w:cs="Arial"/>
        </w:rPr>
        <w:t>La formation sur l’instrument doit être faite sur site (5 personnes minimum).</w:t>
      </w:r>
    </w:p>
    <w:p w14:paraId="486F8207" w14:textId="77777777" w:rsidR="00A534BD" w:rsidRDefault="00A534BD" w:rsidP="00A534BD">
      <w:pPr>
        <w:spacing w:after="160" w:line="259" w:lineRule="auto"/>
        <w:jc w:val="both"/>
        <w:rPr>
          <w:rFonts w:ascii="Arial" w:eastAsia="Calibri" w:hAnsi="Arial" w:cs="Arial"/>
          <w:sz w:val="22"/>
          <w:szCs w:val="22"/>
          <w:lang w:eastAsia="en-US"/>
        </w:rPr>
      </w:pPr>
    </w:p>
    <w:p w14:paraId="78DC1464" w14:textId="77777777"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L’offre de formation et l’offre relative à la documentation sur lesquelles s’engage le titulaire en réponse à ces exigences est décrite dans le cadre de réponse technique remis à l’appui de son offre (partie 4).</w:t>
      </w:r>
    </w:p>
    <w:p w14:paraId="2E0735F8" w14:textId="0793931E" w:rsidR="00A534BD" w:rsidRDefault="00A534BD" w:rsidP="00A534BD">
      <w:pPr>
        <w:spacing w:after="160" w:line="259" w:lineRule="auto"/>
        <w:jc w:val="both"/>
        <w:rPr>
          <w:rFonts w:ascii="Arial" w:eastAsia="Calibri" w:hAnsi="Arial" w:cs="Arial"/>
          <w:sz w:val="22"/>
          <w:szCs w:val="22"/>
          <w:lang w:eastAsia="en-US"/>
        </w:rPr>
      </w:pPr>
    </w:p>
    <w:p w14:paraId="437FAAAF" w14:textId="77777777" w:rsidR="00A534BD" w:rsidRPr="00A534BD" w:rsidRDefault="00A534BD" w:rsidP="00A534BD">
      <w:pPr>
        <w:spacing w:after="160" w:line="259" w:lineRule="auto"/>
        <w:jc w:val="both"/>
        <w:rPr>
          <w:rFonts w:ascii="Arial" w:eastAsia="Calibri" w:hAnsi="Arial" w:cs="Arial"/>
          <w:sz w:val="22"/>
          <w:szCs w:val="22"/>
          <w:lang w:eastAsia="en-US"/>
        </w:rPr>
      </w:pPr>
    </w:p>
    <w:p w14:paraId="65AE2576" w14:textId="77777777" w:rsidR="00A534BD" w:rsidRPr="00A534BD"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26" w:name="_Toc132907687"/>
      <w:bookmarkStart w:id="27" w:name="_Toc202194666"/>
      <w:r w:rsidRPr="00A534BD">
        <w:rPr>
          <w:rFonts w:ascii="Arial" w:hAnsi="Arial" w:cs="Arial"/>
          <w:b/>
          <w:bCs/>
          <w:caps/>
          <w:kern w:val="32"/>
          <w:sz w:val="22"/>
          <w:szCs w:val="22"/>
          <w:lang w:eastAsia="en-US"/>
        </w:rPr>
        <w:t>SERVICES MINIMUMS EXIGES PENDANT LA PERIODE DE Garantie</w:t>
      </w:r>
      <w:bookmarkEnd w:id="26"/>
      <w:bookmarkEnd w:id="27"/>
    </w:p>
    <w:p w14:paraId="64E00CD0" w14:textId="77777777" w:rsidR="00A534BD" w:rsidRPr="00A534BD" w:rsidRDefault="00A534BD" w:rsidP="00A534BD">
      <w:pPr>
        <w:tabs>
          <w:tab w:val="left" w:pos="1455"/>
        </w:tabs>
        <w:spacing w:before="240"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Les services minimums attendus pendant la période de garantie sont les suivants </w:t>
      </w:r>
      <w:r w:rsidRPr="00A534BD">
        <w:rPr>
          <w:rFonts w:ascii="Arial" w:eastAsia="Calibri" w:hAnsi="Arial" w:cs="Arial"/>
          <w:i/>
          <w:color w:val="FF0000"/>
          <w:sz w:val="22"/>
          <w:szCs w:val="22"/>
          <w:lang w:eastAsia="en-US"/>
        </w:rPr>
        <w:t>(à choisir et adapter</w:t>
      </w:r>
      <w:proofErr w:type="gramStart"/>
      <w:r w:rsidRPr="00A534BD">
        <w:rPr>
          <w:rFonts w:ascii="Arial" w:eastAsia="Calibri" w:hAnsi="Arial" w:cs="Arial"/>
          <w:i/>
          <w:color w:val="FF0000"/>
          <w:sz w:val="22"/>
          <w:szCs w:val="22"/>
          <w:lang w:eastAsia="en-US"/>
        </w:rPr>
        <w:t>)</w:t>
      </w:r>
      <w:r w:rsidRPr="00A534BD">
        <w:rPr>
          <w:rFonts w:ascii="Arial" w:eastAsia="Calibri" w:hAnsi="Arial" w:cs="Arial"/>
          <w:sz w:val="22"/>
          <w:szCs w:val="22"/>
          <w:lang w:eastAsia="en-US"/>
        </w:rPr>
        <w:t>:</w:t>
      </w:r>
      <w:proofErr w:type="gramEnd"/>
    </w:p>
    <w:p w14:paraId="02586574" w14:textId="50B79B09" w:rsidR="00A534BD" w:rsidRPr="00A534BD" w:rsidRDefault="00AF3034" w:rsidP="00A534BD">
      <w:pPr>
        <w:tabs>
          <w:tab w:val="left" w:pos="1455"/>
        </w:tabs>
        <w:spacing w:after="160" w:line="259" w:lineRule="auto"/>
        <w:ind w:left="720"/>
        <w:contextualSpacing/>
        <w:jc w:val="both"/>
        <w:rPr>
          <w:rFonts w:ascii="Arial" w:eastAsia="Calibri" w:hAnsi="Arial" w:cs="Arial"/>
          <w:sz w:val="22"/>
          <w:szCs w:val="22"/>
          <w:lang w:eastAsia="en-US"/>
        </w:rPr>
      </w:pPr>
      <w:r>
        <w:rPr>
          <w:rFonts w:ascii="Arial" w:eastAsia="Calibri" w:hAnsi="Arial" w:cs="Arial"/>
          <w:spacing w:val="-4"/>
          <w:sz w:val="22"/>
          <w:szCs w:val="22"/>
          <w:lang w:eastAsia="en-US"/>
        </w:rPr>
        <w:fldChar w:fldCharType="begin">
          <w:ffData>
            <w:name w:val=""/>
            <w:enabled/>
            <w:calcOnExit w:val="0"/>
            <w:checkBox>
              <w:sizeAuto/>
              <w:default w:val="1"/>
            </w:checkBox>
          </w:ffData>
        </w:fldChar>
      </w:r>
      <w:r>
        <w:rPr>
          <w:rFonts w:ascii="Arial" w:eastAsia="Calibri" w:hAnsi="Arial" w:cs="Arial"/>
          <w:spacing w:val="-4"/>
          <w:sz w:val="22"/>
          <w:szCs w:val="22"/>
          <w:lang w:eastAsia="en-US"/>
        </w:rPr>
        <w:instrText xml:space="preserve"> FORMCHECKBOX </w:instrText>
      </w:r>
      <w:r>
        <w:rPr>
          <w:rFonts w:ascii="Arial" w:eastAsia="Calibri" w:hAnsi="Arial" w:cs="Arial"/>
          <w:spacing w:val="-4"/>
          <w:sz w:val="22"/>
          <w:szCs w:val="22"/>
          <w:lang w:eastAsia="en-US"/>
        </w:rPr>
      </w:r>
      <w:r>
        <w:rPr>
          <w:rFonts w:ascii="Arial" w:eastAsia="Calibri" w:hAnsi="Arial" w:cs="Arial"/>
          <w:spacing w:val="-4"/>
          <w:sz w:val="22"/>
          <w:szCs w:val="22"/>
          <w:lang w:eastAsia="en-US"/>
        </w:rPr>
        <w:fldChar w:fldCharType="separate"/>
      </w:r>
      <w:r>
        <w:rPr>
          <w:rFonts w:ascii="Arial" w:eastAsia="Calibri" w:hAnsi="Arial" w:cs="Arial"/>
          <w:spacing w:val="-4"/>
          <w:sz w:val="22"/>
          <w:szCs w:val="22"/>
          <w:lang w:eastAsia="en-US"/>
        </w:rPr>
        <w:fldChar w:fldCharType="end"/>
      </w:r>
      <w:r w:rsidR="00A534BD" w:rsidRPr="00A534BD">
        <w:rPr>
          <w:rFonts w:ascii="Arial" w:eastAsia="Calibri" w:hAnsi="Arial" w:cs="Arial"/>
          <w:spacing w:val="-4"/>
          <w:sz w:val="22"/>
          <w:szCs w:val="22"/>
          <w:lang w:eastAsia="en-US"/>
        </w:rPr>
        <w:t xml:space="preserve">  </w:t>
      </w:r>
      <w:r w:rsidR="00A534BD" w:rsidRPr="00A534BD">
        <w:rPr>
          <w:rFonts w:ascii="Arial" w:eastAsia="Calibri" w:hAnsi="Arial" w:cs="Arial"/>
          <w:sz w:val="22"/>
          <w:szCs w:val="22"/>
          <w:lang w:eastAsia="en-US"/>
        </w:rPr>
        <w:t xml:space="preserve">La maintenance préventive : une visite annuelle minimum au cours de laquelle seront effectuées les opérations de nettoyage, de réglages, de contrôles et d’essais destinées à réduire les risques de panne de l’instrument et à prolonger sa durée de vie. </w:t>
      </w:r>
    </w:p>
    <w:p w14:paraId="1438B71C" w14:textId="77777777" w:rsidR="00A534BD" w:rsidRPr="00A534BD" w:rsidRDefault="00A534BD" w:rsidP="00A534BD">
      <w:pPr>
        <w:tabs>
          <w:tab w:val="left" w:pos="1455"/>
        </w:tabs>
        <w:spacing w:after="160" w:line="259" w:lineRule="auto"/>
        <w:ind w:left="720"/>
        <w:contextualSpacing/>
        <w:jc w:val="both"/>
        <w:rPr>
          <w:rFonts w:ascii="Arial" w:eastAsia="Calibri" w:hAnsi="Arial" w:cs="Arial"/>
          <w:sz w:val="22"/>
          <w:szCs w:val="22"/>
          <w:lang w:eastAsia="en-US"/>
        </w:rPr>
      </w:pPr>
    </w:p>
    <w:p w14:paraId="5ED567D7" w14:textId="38509ED3" w:rsidR="00A534BD" w:rsidRDefault="00AF3034" w:rsidP="00A534BD">
      <w:pPr>
        <w:tabs>
          <w:tab w:val="left" w:pos="1455"/>
        </w:tabs>
        <w:spacing w:after="160" w:line="259" w:lineRule="auto"/>
        <w:ind w:left="720"/>
        <w:contextualSpacing/>
        <w:jc w:val="both"/>
        <w:rPr>
          <w:rFonts w:ascii="Arial" w:eastAsia="Calibri" w:hAnsi="Arial" w:cs="Arial"/>
          <w:sz w:val="22"/>
          <w:szCs w:val="22"/>
          <w:lang w:eastAsia="en-US"/>
        </w:rPr>
      </w:pPr>
      <w:r>
        <w:rPr>
          <w:rFonts w:ascii="Arial" w:eastAsia="Calibri" w:hAnsi="Arial" w:cs="Arial"/>
          <w:spacing w:val="-4"/>
          <w:sz w:val="22"/>
          <w:szCs w:val="22"/>
          <w:lang w:eastAsia="en-US"/>
        </w:rPr>
        <w:fldChar w:fldCharType="begin">
          <w:ffData>
            <w:name w:val=""/>
            <w:enabled/>
            <w:calcOnExit w:val="0"/>
            <w:checkBox>
              <w:sizeAuto/>
              <w:default w:val="1"/>
            </w:checkBox>
          </w:ffData>
        </w:fldChar>
      </w:r>
      <w:r>
        <w:rPr>
          <w:rFonts w:ascii="Arial" w:eastAsia="Calibri" w:hAnsi="Arial" w:cs="Arial"/>
          <w:spacing w:val="-4"/>
          <w:sz w:val="22"/>
          <w:szCs w:val="22"/>
          <w:lang w:eastAsia="en-US"/>
        </w:rPr>
        <w:instrText xml:space="preserve"> FORMCHECKBOX </w:instrText>
      </w:r>
      <w:r>
        <w:rPr>
          <w:rFonts w:ascii="Arial" w:eastAsia="Calibri" w:hAnsi="Arial" w:cs="Arial"/>
          <w:spacing w:val="-4"/>
          <w:sz w:val="22"/>
          <w:szCs w:val="22"/>
          <w:lang w:eastAsia="en-US"/>
        </w:rPr>
      </w:r>
      <w:r>
        <w:rPr>
          <w:rFonts w:ascii="Arial" w:eastAsia="Calibri" w:hAnsi="Arial" w:cs="Arial"/>
          <w:spacing w:val="-4"/>
          <w:sz w:val="22"/>
          <w:szCs w:val="22"/>
          <w:lang w:eastAsia="en-US"/>
        </w:rPr>
        <w:fldChar w:fldCharType="separate"/>
      </w:r>
      <w:r>
        <w:rPr>
          <w:rFonts w:ascii="Arial" w:eastAsia="Calibri" w:hAnsi="Arial" w:cs="Arial"/>
          <w:spacing w:val="-4"/>
          <w:sz w:val="22"/>
          <w:szCs w:val="22"/>
          <w:lang w:eastAsia="en-US"/>
        </w:rPr>
        <w:fldChar w:fldCharType="end"/>
      </w:r>
      <w:r w:rsidR="00A534BD" w:rsidRPr="00A534BD">
        <w:rPr>
          <w:rFonts w:ascii="Arial" w:eastAsia="Calibri" w:hAnsi="Arial" w:cs="Arial"/>
          <w:spacing w:val="-4"/>
          <w:sz w:val="22"/>
          <w:szCs w:val="22"/>
          <w:lang w:eastAsia="en-US"/>
        </w:rPr>
        <w:t xml:space="preserve">  </w:t>
      </w:r>
      <w:r w:rsidR="00A534BD" w:rsidRPr="00A534BD">
        <w:rPr>
          <w:rFonts w:ascii="Arial" w:eastAsia="Calibri" w:hAnsi="Arial" w:cs="Arial"/>
          <w:sz w:val="22"/>
          <w:szCs w:val="22"/>
          <w:lang w:eastAsia="en-US"/>
        </w:rPr>
        <w:t xml:space="preserve">La maintenance corrective : un nombre de visite corrective illimité avec un délai d’intervention sur site de </w:t>
      </w:r>
      <w:r w:rsidR="003B0B6D">
        <w:rPr>
          <w:rFonts w:ascii="Arial" w:eastAsia="Calibri" w:hAnsi="Arial" w:cs="Arial"/>
          <w:sz w:val="22"/>
          <w:szCs w:val="22"/>
          <w:lang w:eastAsia="en-US"/>
        </w:rPr>
        <w:t>trois</w:t>
      </w:r>
      <w:r w:rsidR="00A534BD" w:rsidRPr="00A534BD">
        <w:rPr>
          <w:rFonts w:ascii="Arial" w:eastAsia="Calibri" w:hAnsi="Arial" w:cs="Arial"/>
          <w:sz w:val="22"/>
          <w:szCs w:val="22"/>
          <w:lang w:eastAsia="en-US"/>
        </w:rPr>
        <w:t xml:space="preserve"> (</w:t>
      </w:r>
      <w:r w:rsidR="00165E50">
        <w:rPr>
          <w:rFonts w:ascii="Arial" w:eastAsia="Calibri" w:hAnsi="Arial" w:cs="Arial"/>
          <w:sz w:val="22"/>
          <w:szCs w:val="22"/>
          <w:lang w:eastAsia="en-US"/>
        </w:rPr>
        <w:t>3</w:t>
      </w:r>
      <w:r w:rsidR="00A534BD" w:rsidRPr="00A534BD">
        <w:rPr>
          <w:rFonts w:ascii="Arial" w:eastAsia="Calibri" w:hAnsi="Arial" w:cs="Arial"/>
          <w:sz w:val="22"/>
          <w:szCs w:val="22"/>
          <w:lang w:eastAsia="en-US"/>
        </w:rPr>
        <w:t xml:space="preserve">) jours calendaires maximum à compter de la demande d’intervention. Ces visites incluent la </w:t>
      </w:r>
      <w:proofErr w:type="spellStart"/>
      <w:r w:rsidR="00A534BD" w:rsidRPr="00A534BD">
        <w:rPr>
          <w:rFonts w:ascii="Arial" w:eastAsia="Calibri" w:hAnsi="Arial" w:cs="Arial"/>
          <w:sz w:val="22"/>
          <w:szCs w:val="22"/>
          <w:lang w:eastAsia="en-US"/>
        </w:rPr>
        <w:t>main-d’oeuvre</w:t>
      </w:r>
      <w:proofErr w:type="spellEnd"/>
      <w:r w:rsidR="00A534BD" w:rsidRPr="00A534BD">
        <w:rPr>
          <w:rFonts w:ascii="Arial" w:eastAsia="Calibri" w:hAnsi="Arial" w:cs="Arial"/>
          <w:sz w:val="22"/>
          <w:szCs w:val="22"/>
          <w:lang w:eastAsia="en-US"/>
        </w:rPr>
        <w:t xml:space="preserve">, le déplacement, les pièces détachées ainsi que les consommables nécessaires à l’achèvement de l’intervention. </w:t>
      </w:r>
    </w:p>
    <w:p w14:paraId="4B967AB1" w14:textId="77777777" w:rsidR="007E7250" w:rsidRPr="00A534BD" w:rsidRDefault="007E7250" w:rsidP="00A534BD">
      <w:pPr>
        <w:tabs>
          <w:tab w:val="left" w:pos="1455"/>
        </w:tabs>
        <w:spacing w:after="160" w:line="259" w:lineRule="auto"/>
        <w:ind w:left="720"/>
        <w:contextualSpacing/>
        <w:jc w:val="both"/>
        <w:rPr>
          <w:rFonts w:ascii="Arial" w:eastAsia="Calibri" w:hAnsi="Arial" w:cs="Arial"/>
          <w:sz w:val="22"/>
          <w:szCs w:val="22"/>
          <w:lang w:eastAsia="en-US"/>
        </w:rPr>
      </w:pPr>
    </w:p>
    <w:p w14:paraId="682D61C6" w14:textId="02039A68" w:rsidR="007E7250" w:rsidRDefault="007E7250" w:rsidP="007E7250">
      <w:pPr>
        <w:tabs>
          <w:tab w:val="left" w:pos="1455"/>
        </w:tabs>
        <w:spacing w:before="240" w:after="160" w:line="256" w:lineRule="auto"/>
        <w:jc w:val="both"/>
        <w:rPr>
          <w:rFonts w:ascii="Arial" w:eastAsia="Calibri" w:hAnsi="Arial" w:cs="Arial"/>
          <w:spacing w:val="-4"/>
          <w:sz w:val="22"/>
          <w:szCs w:val="22"/>
          <w:lang w:eastAsia="en-US"/>
        </w:rPr>
      </w:pPr>
      <w:r>
        <w:rPr>
          <w:rFonts w:ascii="Arial" w:eastAsia="Calibri" w:hAnsi="Arial" w:cs="Arial"/>
          <w:sz w:val="22"/>
          <w:szCs w:val="22"/>
          <w:lang w:eastAsia="en-US"/>
        </w:rPr>
        <w:t xml:space="preserve">          </w:t>
      </w:r>
      <w:r>
        <w:rPr>
          <w:rFonts w:ascii="Arial" w:eastAsia="Calibri" w:hAnsi="Arial" w:cs="Arial"/>
          <w:spacing w:val="-4"/>
          <w:sz w:val="22"/>
          <w:szCs w:val="22"/>
          <w:lang w:eastAsia="en-US"/>
        </w:rPr>
        <w:t xml:space="preserve">  </w:t>
      </w:r>
      <w:r>
        <w:rPr>
          <w:rFonts w:ascii="Arial" w:eastAsia="Calibri" w:hAnsi="Arial" w:cs="Arial"/>
          <w:spacing w:val="-4"/>
          <w:sz w:val="22"/>
          <w:szCs w:val="22"/>
          <w:lang w:eastAsia="en-US"/>
        </w:rPr>
        <w:fldChar w:fldCharType="begin">
          <w:ffData>
            <w:name w:val=""/>
            <w:enabled/>
            <w:calcOnExit w:val="0"/>
            <w:checkBox>
              <w:sizeAuto/>
              <w:default w:val="1"/>
            </w:checkBox>
          </w:ffData>
        </w:fldChar>
      </w:r>
      <w:r>
        <w:rPr>
          <w:rFonts w:ascii="Arial" w:eastAsia="Calibri" w:hAnsi="Arial" w:cs="Arial"/>
          <w:spacing w:val="-4"/>
          <w:sz w:val="22"/>
          <w:szCs w:val="22"/>
          <w:lang w:eastAsia="en-US"/>
        </w:rPr>
        <w:instrText xml:space="preserve"> FORMCHECKBOX </w:instrText>
      </w:r>
      <w:r>
        <w:rPr>
          <w:rFonts w:ascii="Arial" w:eastAsia="Calibri" w:hAnsi="Arial" w:cs="Arial"/>
          <w:spacing w:val="-4"/>
          <w:sz w:val="22"/>
          <w:szCs w:val="22"/>
          <w:lang w:eastAsia="en-US"/>
        </w:rPr>
      </w:r>
      <w:r>
        <w:rPr>
          <w:rFonts w:ascii="Arial" w:eastAsia="Calibri" w:hAnsi="Arial" w:cs="Arial"/>
          <w:spacing w:val="-4"/>
          <w:sz w:val="22"/>
          <w:szCs w:val="22"/>
          <w:lang w:eastAsia="en-US"/>
        </w:rPr>
        <w:fldChar w:fldCharType="separate"/>
      </w:r>
      <w:r>
        <w:rPr>
          <w:rFonts w:ascii="Arial" w:eastAsia="Calibri" w:hAnsi="Arial" w:cs="Arial"/>
          <w:spacing w:val="-4"/>
          <w:sz w:val="22"/>
          <w:szCs w:val="22"/>
          <w:lang w:eastAsia="en-US"/>
        </w:rPr>
        <w:fldChar w:fldCharType="end"/>
      </w:r>
      <w:r>
        <w:rPr>
          <w:rFonts w:ascii="Arial" w:eastAsia="Calibri" w:hAnsi="Arial" w:cs="Arial"/>
          <w:spacing w:val="-4"/>
          <w:sz w:val="22"/>
          <w:szCs w:val="22"/>
          <w:lang w:eastAsia="en-US"/>
        </w:rPr>
        <w:t xml:space="preserve">  La mise à jour du logiciel</w:t>
      </w:r>
    </w:p>
    <w:p w14:paraId="3BFD9C91" w14:textId="300CE46A" w:rsidR="00A534BD" w:rsidRPr="00A534BD" w:rsidRDefault="00A534BD" w:rsidP="00A534BD">
      <w:pPr>
        <w:tabs>
          <w:tab w:val="left" w:pos="1455"/>
        </w:tabs>
        <w:spacing w:before="240" w:after="160" w:line="259" w:lineRule="auto"/>
        <w:jc w:val="both"/>
        <w:rPr>
          <w:rFonts w:ascii="Arial" w:eastAsia="Calibri" w:hAnsi="Arial" w:cs="Arial"/>
          <w:sz w:val="22"/>
          <w:szCs w:val="22"/>
          <w:lang w:eastAsia="en-US"/>
        </w:rPr>
      </w:pPr>
    </w:p>
    <w:p w14:paraId="0B6C2B04" w14:textId="77777777"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Les services proposés par le titulaire, ses engagements de qualité et les moyens dédiés à l’exécution de ces services en cohérence avec les services minimums exigés pendant la période de garantie ci-dessus sont décrits dans le cadre de réponse technique remis à l’appui de son offre (partie 5).</w:t>
      </w:r>
    </w:p>
    <w:p w14:paraId="4FBADEBE" w14:textId="77777777"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p>
    <w:p w14:paraId="4EFFF1E5" w14:textId="77777777" w:rsidR="00A534BD" w:rsidRPr="00A534BD" w:rsidRDefault="00A534BD" w:rsidP="00A534BD">
      <w:pPr>
        <w:spacing w:after="160" w:line="259" w:lineRule="auto"/>
        <w:jc w:val="both"/>
        <w:rPr>
          <w:rFonts w:ascii="Arial" w:eastAsia="Calibri" w:hAnsi="Arial" w:cs="Arial"/>
          <w:sz w:val="22"/>
          <w:szCs w:val="22"/>
          <w:lang w:eastAsia="en-US"/>
        </w:rPr>
      </w:pPr>
    </w:p>
    <w:p w14:paraId="45D8A390" w14:textId="6D559064" w:rsidR="00A534BD" w:rsidRPr="00A534BD"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28" w:name="_Toc132907688"/>
      <w:bookmarkStart w:id="29" w:name="_Toc202194667"/>
      <w:r w:rsidRPr="00A534BD">
        <w:rPr>
          <w:rFonts w:ascii="Arial" w:hAnsi="Arial" w:cs="Arial"/>
          <w:b/>
          <w:bCs/>
          <w:caps/>
          <w:kern w:val="32"/>
          <w:sz w:val="22"/>
          <w:szCs w:val="22"/>
          <w:lang w:eastAsia="en-US"/>
        </w:rPr>
        <w:t>MESURES PRISES PAR LE TITULAIRE EN MATIERE DE PROTECTION DE L’ENVIRONNEMENT</w:t>
      </w:r>
      <w:bookmarkEnd w:id="28"/>
      <w:bookmarkEnd w:id="29"/>
    </w:p>
    <w:p w14:paraId="7EA03F90" w14:textId="77777777" w:rsidR="00A534BD" w:rsidRDefault="00A534BD" w:rsidP="00A534BD">
      <w:pPr>
        <w:spacing w:before="240" w:after="160" w:line="259" w:lineRule="auto"/>
        <w:contextualSpacing/>
        <w:rPr>
          <w:rFonts w:ascii="Arial" w:eastAsia="Calibri" w:hAnsi="Arial" w:cs="Arial"/>
          <w:sz w:val="22"/>
          <w:szCs w:val="22"/>
          <w:lang w:eastAsia="en-US"/>
        </w:rPr>
      </w:pPr>
    </w:p>
    <w:p w14:paraId="23079D10" w14:textId="61140A18" w:rsidR="00A534BD" w:rsidRDefault="00A534BD" w:rsidP="00A534BD">
      <w:pPr>
        <w:spacing w:before="240" w:after="160" w:line="259" w:lineRule="auto"/>
        <w:contextualSpacing/>
        <w:rPr>
          <w:rFonts w:ascii="Arial" w:eastAsia="Calibri" w:hAnsi="Arial" w:cs="Arial"/>
          <w:sz w:val="22"/>
          <w:szCs w:val="22"/>
          <w:lang w:eastAsia="en-US"/>
        </w:rPr>
      </w:pPr>
      <w:r w:rsidRPr="00A534BD">
        <w:rPr>
          <w:rFonts w:ascii="Arial" w:eastAsia="Calibri" w:hAnsi="Arial" w:cs="Arial"/>
          <w:sz w:val="22"/>
          <w:szCs w:val="22"/>
          <w:lang w:eastAsia="en-US"/>
        </w:rPr>
        <w:t xml:space="preserve">En complément de l’article 14.10 </w:t>
      </w:r>
      <w:r w:rsidR="007D4B42" w:rsidRPr="007D4B42">
        <w:rPr>
          <w:rFonts w:ascii="Arial" w:eastAsia="Calibri" w:hAnsi="Arial" w:cs="Arial"/>
          <w:i/>
          <w:sz w:val="22"/>
          <w:szCs w:val="22"/>
          <w:lang w:eastAsia="en-US"/>
        </w:rPr>
        <w:t>Développement durable</w:t>
      </w:r>
      <w:r w:rsidR="007D4B42">
        <w:rPr>
          <w:rFonts w:ascii="Arial" w:eastAsia="Calibri" w:hAnsi="Arial" w:cs="Arial"/>
          <w:i/>
          <w:sz w:val="22"/>
          <w:szCs w:val="22"/>
          <w:lang w:eastAsia="en-US"/>
        </w:rPr>
        <w:t xml:space="preserve"> </w:t>
      </w:r>
      <w:r w:rsidRPr="00A534BD">
        <w:rPr>
          <w:rFonts w:ascii="Arial" w:eastAsia="Calibri" w:hAnsi="Arial" w:cs="Arial"/>
          <w:sz w:val="22"/>
          <w:szCs w:val="22"/>
          <w:lang w:eastAsia="en-US"/>
        </w:rPr>
        <w:t xml:space="preserve">du CCP de l’accord cadre, les mesures minimales prises par le titulaire en matière de protection de l’environnement dans le cadre de l’exécution du présent marché subséquent seront les suivantes : </w:t>
      </w:r>
    </w:p>
    <w:p w14:paraId="3727F879" w14:textId="77777777" w:rsidR="00AD5199" w:rsidRDefault="00AD5199" w:rsidP="00A534BD">
      <w:pPr>
        <w:spacing w:before="240" w:after="160" w:line="259" w:lineRule="auto"/>
        <w:contextualSpacing/>
        <w:rPr>
          <w:rFonts w:ascii="Arial" w:eastAsia="Calibri" w:hAnsi="Arial" w:cs="Arial"/>
          <w:sz w:val="22"/>
          <w:szCs w:val="22"/>
          <w:lang w:eastAsia="en-US"/>
        </w:rPr>
      </w:pPr>
    </w:p>
    <w:p w14:paraId="485483EA" w14:textId="77777777" w:rsidR="00AD5199" w:rsidRDefault="00AD5199" w:rsidP="00AD5199">
      <w:pPr>
        <w:spacing w:before="240" w:after="120"/>
        <w:jc w:val="both"/>
        <w:rPr>
          <w:rFonts w:ascii="Arial" w:eastAsia="Calibri" w:hAnsi="Arial" w:cs="Arial"/>
          <w:sz w:val="22"/>
          <w:szCs w:val="22"/>
          <w:lang w:eastAsia="en-US"/>
        </w:rPr>
      </w:pPr>
      <w:r>
        <w:rPr>
          <w:rFonts w:ascii="Arial" w:eastAsia="Calibri" w:hAnsi="Arial" w:cs="Arial"/>
          <w:sz w:val="22"/>
          <w:szCs w:val="22"/>
          <w:lang w:eastAsia="en-US"/>
        </w:rPr>
        <w:t xml:space="preserve">Le titulaire veille à limiter l'impact environnemental des livraisons et du transport des matériels proposés. La planification du transport de ces marchandises doit permettre, lorsque cela est compatible avec les besoins de l'acheteur, d'éviter la circulation pendant les heures de pointe. </w:t>
      </w:r>
    </w:p>
    <w:p w14:paraId="6D5593FA" w14:textId="77777777" w:rsidR="00AD5199" w:rsidRDefault="00AD5199" w:rsidP="00AD5199">
      <w:pPr>
        <w:spacing w:before="240" w:after="120"/>
        <w:jc w:val="both"/>
        <w:rPr>
          <w:rFonts w:ascii="Arial" w:eastAsia="Calibri" w:hAnsi="Arial" w:cs="Arial"/>
          <w:sz w:val="22"/>
          <w:szCs w:val="22"/>
          <w:lang w:eastAsia="en-US"/>
        </w:rPr>
      </w:pPr>
      <w:r>
        <w:rPr>
          <w:rFonts w:ascii="Arial" w:eastAsia="Calibri" w:hAnsi="Arial" w:cs="Arial"/>
          <w:sz w:val="22"/>
          <w:szCs w:val="22"/>
          <w:lang w:eastAsia="en-US"/>
        </w:rPr>
        <w:lastRenderedPageBreak/>
        <w:t>Le titulaire favorise les modes de transports les plus respectueux de l'environnement, notamment les véhicules à faibles émissions, les modes de transports doux ou alternatifs à la route.</w:t>
      </w:r>
    </w:p>
    <w:p w14:paraId="071AD436" w14:textId="77777777" w:rsidR="00AD5199" w:rsidRDefault="00AD5199" w:rsidP="00AD5199">
      <w:pPr>
        <w:spacing w:before="240"/>
        <w:jc w:val="both"/>
        <w:rPr>
          <w:rFonts w:ascii="Arial" w:eastAsia="Calibri" w:hAnsi="Arial" w:cs="Arial"/>
          <w:sz w:val="22"/>
          <w:szCs w:val="22"/>
          <w:lang w:eastAsia="en-US"/>
        </w:rPr>
      </w:pPr>
      <w:r>
        <w:rPr>
          <w:rFonts w:ascii="Arial" w:eastAsia="Calibri" w:hAnsi="Arial" w:cs="Arial"/>
          <w:sz w:val="22"/>
          <w:szCs w:val="22"/>
          <w:lang w:eastAsia="en-US"/>
        </w:rP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 Le sursis de livraison suspend pour un temps égal à sa durée l'application des pénalités pour retard.</w:t>
      </w:r>
    </w:p>
    <w:p w14:paraId="2B4BCECB" w14:textId="77777777" w:rsidR="00AD5199" w:rsidRDefault="00AD5199" w:rsidP="00AD5199">
      <w:pPr>
        <w:spacing w:after="120"/>
        <w:jc w:val="both"/>
        <w:rPr>
          <w:rFonts w:ascii="Arial" w:eastAsia="Calibri" w:hAnsi="Arial" w:cs="Arial"/>
          <w:sz w:val="22"/>
          <w:szCs w:val="22"/>
          <w:lang w:eastAsia="en-US"/>
        </w:rPr>
      </w:pPr>
      <w:r>
        <w:rPr>
          <w:rFonts w:ascii="Arial" w:eastAsia="Calibri" w:hAnsi="Arial" w:cs="Arial"/>
          <w:sz w:val="22"/>
          <w:szCs w:val="22"/>
          <w:lang w:eastAsia="en-US"/>
        </w:rPr>
        <w:t>Aucun sursis de livraison ne peut être demandé par le titulaire pour des événements survenus après l'expiration du délai d'exécution du marché, éventuellement déjà prolongé.</w:t>
      </w:r>
    </w:p>
    <w:p w14:paraId="16491DE9" w14:textId="77777777" w:rsidR="00AD5199" w:rsidRDefault="00AD5199" w:rsidP="00AD5199">
      <w:pPr>
        <w:spacing w:before="240" w:after="120"/>
        <w:jc w:val="both"/>
        <w:rPr>
          <w:rFonts w:ascii="Arial" w:eastAsia="Calibri" w:hAnsi="Arial" w:cs="Arial"/>
          <w:sz w:val="22"/>
          <w:szCs w:val="22"/>
          <w:lang w:eastAsia="en-US"/>
        </w:rPr>
      </w:pPr>
      <w:r>
        <w:rPr>
          <w:rFonts w:ascii="Arial" w:eastAsia="Calibri" w:hAnsi="Arial" w:cs="Arial"/>
          <w:sz w:val="22"/>
          <w:szCs w:val="22"/>
          <w:lang w:eastAsia="en-US"/>
        </w:rP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0E0D3729" w14:textId="77777777" w:rsidR="00AD5199" w:rsidRDefault="00AD5199" w:rsidP="00AD5199">
      <w:pPr>
        <w:spacing w:before="240" w:after="120"/>
        <w:jc w:val="both"/>
        <w:rPr>
          <w:rFonts w:ascii="Arial" w:eastAsia="Calibri" w:hAnsi="Arial" w:cs="Arial"/>
          <w:sz w:val="22"/>
          <w:szCs w:val="22"/>
          <w:lang w:eastAsia="en-US"/>
        </w:rPr>
      </w:pPr>
      <w:r>
        <w:rPr>
          <w:rFonts w:ascii="Arial" w:eastAsia="Calibri" w:hAnsi="Arial" w:cs="Arial"/>
          <w:sz w:val="22"/>
          <w:szCs w:val="22"/>
          <w:lang w:eastAsia="en-US"/>
        </w:rP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 En cas de non-communication de ces éléments justificatifs, et après une mise en demeure restée infructueuse, l'acheteur se réserve le droit d'appliquer les pénalités prévues dans le présent CCP.</w:t>
      </w:r>
    </w:p>
    <w:p w14:paraId="2C09C642" w14:textId="77777777" w:rsidR="00AD5199" w:rsidRDefault="00AD5199" w:rsidP="00AD5199">
      <w:pPr>
        <w:spacing w:line="256" w:lineRule="auto"/>
        <w:rPr>
          <w:rFonts w:ascii="Arial" w:eastAsia="Calibri" w:hAnsi="Arial" w:cs="Arial"/>
          <w:sz w:val="22"/>
          <w:szCs w:val="22"/>
          <w:lang w:eastAsia="en-US"/>
        </w:rPr>
      </w:pPr>
    </w:p>
    <w:p w14:paraId="0E07ABD2" w14:textId="77777777" w:rsidR="00AD5199" w:rsidRDefault="00AD5199" w:rsidP="00AD5199">
      <w:pPr>
        <w:spacing w:line="256" w:lineRule="auto"/>
        <w:rPr>
          <w:rFonts w:ascii="Arial" w:eastAsia="Calibri" w:hAnsi="Arial" w:cs="Arial"/>
          <w:sz w:val="22"/>
          <w:szCs w:val="22"/>
          <w:lang w:eastAsia="en-US"/>
        </w:rPr>
      </w:pPr>
      <w:r>
        <w:rPr>
          <w:rFonts w:ascii="Arial" w:eastAsia="Calibri" w:hAnsi="Arial" w:cs="Arial"/>
          <w:sz w:val="22"/>
          <w:szCs w:val="22"/>
          <w:lang w:eastAsia="en-US"/>
        </w:rPr>
        <w:t>Le titulaire s’engage à ce que l’équipement objet du marché présente un niveau de consommation énergétique le plus bas possible.</w:t>
      </w:r>
    </w:p>
    <w:p w14:paraId="57574299" w14:textId="77777777" w:rsidR="00AD5199" w:rsidRDefault="00AD5199" w:rsidP="00AD5199">
      <w:pPr>
        <w:spacing w:line="256" w:lineRule="auto"/>
        <w:rPr>
          <w:rFonts w:ascii="Arial" w:eastAsia="Calibri" w:hAnsi="Arial" w:cs="Arial"/>
          <w:sz w:val="22"/>
          <w:szCs w:val="22"/>
          <w:lang w:eastAsia="en-US"/>
        </w:rPr>
      </w:pPr>
    </w:p>
    <w:p w14:paraId="49A2C0F9" w14:textId="77777777" w:rsidR="00AD5199" w:rsidRDefault="00AD5199" w:rsidP="00AD5199">
      <w:pPr>
        <w:spacing w:line="256" w:lineRule="auto"/>
        <w:rPr>
          <w:rFonts w:ascii="Arial" w:eastAsia="Calibri" w:hAnsi="Arial" w:cs="Arial"/>
          <w:sz w:val="22"/>
          <w:szCs w:val="22"/>
          <w:lang w:eastAsia="en-US"/>
        </w:rPr>
      </w:pPr>
      <w:r>
        <w:rPr>
          <w:rFonts w:ascii="Arial" w:eastAsia="Calibri" w:hAnsi="Arial" w:cs="Arial"/>
          <w:sz w:val="22"/>
          <w:szCs w:val="22"/>
          <w:lang w:eastAsia="en-US"/>
        </w:rPr>
        <w:t>Il s’engage à ce que l’équipement objet du marché présente un niveau de consommation en fluides le plus faible possible.</w:t>
      </w:r>
    </w:p>
    <w:p w14:paraId="03D1DEB0" w14:textId="77777777" w:rsidR="00AD5199" w:rsidRDefault="00AD5199" w:rsidP="00AD5199">
      <w:pPr>
        <w:spacing w:line="256" w:lineRule="auto"/>
        <w:rPr>
          <w:rFonts w:ascii="Arial" w:eastAsia="Calibri" w:hAnsi="Arial" w:cs="Arial"/>
          <w:sz w:val="22"/>
          <w:szCs w:val="22"/>
          <w:lang w:eastAsia="en-US"/>
        </w:rPr>
      </w:pPr>
    </w:p>
    <w:p w14:paraId="44D6932C" w14:textId="6C0F7C68" w:rsidR="00AD5199" w:rsidRDefault="00AD5199" w:rsidP="00AD5199">
      <w:pPr>
        <w:rPr>
          <w:rFonts w:ascii="Times New Roman" w:hAnsi="Times New Roman"/>
        </w:rPr>
      </w:pPr>
      <w:r>
        <w:rPr>
          <w:rFonts w:ascii="Arial" w:eastAsia="Calibri" w:hAnsi="Arial" w:cs="Arial"/>
          <w:sz w:val="22"/>
          <w:szCs w:val="22"/>
          <w:lang w:eastAsia="en-US"/>
        </w:rPr>
        <w:t xml:space="preserve">Il s’engage à garantir la disponibilité des pièces détachées </w:t>
      </w:r>
      <w:r w:rsidR="00F50796">
        <w:rPr>
          <w:rFonts w:ascii="Arial" w:eastAsia="Calibri" w:hAnsi="Arial" w:cs="Arial"/>
          <w:sz w:val="22"/>
          <w:szCs w:val="22"/>
          <w:lang w:eastAsia="en-US"/>
        </w:rPr>
        <w:t>et le maintien en ordre de marche de fonctionnement de l’équipement sur une durée d</w:t>
      </w:r>
      <w:r w:rsidR="00072D0B">
        <w:rPr>
          <w:rFonts w:ascii="Arial" w:eastAsia="Calibri" w:hAnsi="Arial" w:cs="Arial"/>
          <w:sz w:val="22"/>
          <w:szCs w:val="22"/>
          <w:lang w:eastAsia="en-US"/>
        </w:rPr>
        <w:t>’</w:t>
      </w:r>
      <w:r w:rsidR="00F50796">
        <w:rPr>
          <w:rFonts w:ascii="Arial" w:eastAsia="Calibri" w:hAnsi="Arial" w:cs="Arial"/>
          <w:sz w:val="22"/>
          <w:szCs w:val="22"/>
          <w:lang w:eastAsia="en-US"/>
        </w:rPr>
        <w:t xml:space="preserve">au moins 10 ans. </w:t>
      </w:r>
      <w:r>
        <w:rPr>
          <w:rFonts w:ascii="Times New Roman" w:hAnsi="Times New Roman"/>
        </w:rPr>
        <w:t xml:space="preserve"> </w:t>
      </w:r>
    </w:p>
    <w:p w14:paraId="2558AB54" w14:textId="76D8EB8D" w:rsidR="00AD5199" w:rsidRDefault="00AD5199" w:rsidP="00AD5199">
      <w:pPr>
        <w:spacing w:line="256" w:lineRule="auto"/>
        <w:rPr>
          <w:rFonts w:ascii="Arial" w:eastAsia="Calibri" w:hAnsi="Arial" w:cs="Arial"/>
          <w:sz w:val="22"/>
          <w:szCs w:val="22"/>
          <w:lang w:eastAsia="en-US"/>
        </w:rPr>
      </w:pPr>
    </w:p>
    <w:p w14:paraId="6730EA64" w14:textId="77777777" w:rsidR="00AD5199" w:rsidRPr="00A534BD" w:rsidRDefault="00AD5199" w:rsidP="00A534BD">
      <w:pPr>
        <w:spacing w:before="240" w:after="160" w:line="259" w:lineRule="auto"/>
        <w:contextualSpacing/>
        <w:rPr>
          <w:rFonts w:ascii="Arial" w:eastAsia="Calibri" w:hAnsi="Arial" w:cs="Arial"/>
          <w:sz w:val="22"/>
          <w:szCs w:val="22"/>
          <w:lang w:eastAsia="en-US"/>
        </w:rPr>
      </w:pPr>
    </w:p>
    <w:p w14:paraId="7127574D" w14:textId="77777777"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L’offre relative à la protection de l’environnement sur laquelle s’engage le titulaire est décrite dans le cadre de réponse technique remis à l’appui de son offre (partie 6).</w:t>
      </w:r>
    </w:p>
    <w:p w14:paraId="618CD8A1" w14:textId="77777777" w:rsidR="00A534BD" w:rsidRPr="00A534BD" w:rsidRDefault="00A534BD" w:rsidP="00A534BD">
      <w:pPr>
        <w:spacing w:after="160" w:line="259" w:lineRule="auto"/>
        <w:jc w:val="both"/>
        <w:rPr>
          <w:rFonts w:ascii="Arial" w:eastAsia="Calibri" w:hAnsi="Arial" w:cs="Arial"/>
          <w:sz w:val="22"/>
          <w:szCs w:val="22"/>
          <w:lang w:eastAsia="en-US"/>
        </w:rPr>
      </w:pPr>
    </w:p>
    <w:p w14:paraId="33D68278" w14:textId="7869CDCA" w:rsidR="00A534BD" w:rsidRPr="00A534BD" w:rsidRDefault="00A534BD" w:rsidP="000479FB">
      <w:pPr>
        <w:keepNext/>
        <w:numPr>
          <w:ilvl w:val="0"/>
          <w:numId w:val="3"/>
        </w:numPr>
        <w:spacing w:before="240" w:after="60" w:line="259" w:lineRule="auto"/>
        <w:jc w:val="both"/>
        <w:outlineLvl w:val="0"/>
        <w:rPr>
          <w:rFonts w:ascii="Arial" w:hAnsi="Arial" w:cs="Arial"/>
          <w:b/>
          <w:bCs/>
          <w:caps/>
          <w:kern w:val="32"/>
          <w:sz w:val="22"/>
          <w:szCs w:val="22"/>
          <w:lang w:eastAsia="en-US"/>
        </w:rPr>
      </w:pPr>
      <w:bookmarkStart w:id="30" w:name="_Toc132907689"/>
      <w:bookmarkStart w:id="31" w:name="_Toc202194668"/>
      <w:r w:rsidRPr="00A534BD">
        <w:rPr>
          <w:rFonts w:ascii="Arial" w:hAnsi="Arial" w:cs="Arial"/>
          <w:b/>
          <w:bCs/>
          <w:caps/>
          <w:kern w:val="32"/>
          <w:sz w:val="22"/>
          <w:szCs w:val="22"/>
          <w:lang w:eastAsia="en-US"/>
        </w:rPr>
        <w:t>MESURES PRISES PAR LE TITULAIRE EN FAVEUR DE SA RESPONSABILITE SOCIETALE</w:t>
      </w:r>
      <w:bookmarkEnd w:id="30"/>
      <w:bookmarkEnd w:id="31"/>
    </w:p>
    <w:p w14:paraId="4757F68E" w14:textId="15011EFF" w:rsidR="00A534BD" w:rsidRDefault="00A534BD" w:rsidP="00A534BD">
      <w:pPr>
        <w:spacing w:before="240" w:after="160" w:line="259" w:lineRule="auto"/>
        <w:rPr>
          <w:rFonts w:ascii="Arial" w:eastAsia="Calibri" w:hAnsi="Arial" w:cs="Arial"/>
          <w:sz w:val="22"/>
          <w:szCs w:val="22"/>
          <w:lang w:eastAsia="en-US"/>
        </w:rPr>
      </w:pPr>
      <w:r w:rsidRPr="00A534BD">
        <w:rPr>
          <w:rFonts w:ascii="Arial" w:eastAsia="Calibri" w:hAnsi="Arial" w:cs="Arial"/>
          <w:sz w:val="22"/>
          <w:szCs w:val="22"/>
          <w:lang w:eastAsia="en-US"/>
        </w:rPr>
        <w:t>Les mesures minimales prises par le titulaire en faveur de sa respons</w:t>
      </w:r>
      <w:r w:rsidR="009B65B2">
        <w:rPr>
          <w:rFonts w:ascii="Arial" w:eastAsia="Calibri" w:hAnsi="Arial" w:cs="Arial"/>
          <w:sz w:val="22"/>
          <w:szCs w:val="22"/>
          <w:lang w:eastAsia="en-US"/>
        </w:rPr>
        <w:t xml:space="preserve">abilité sociétale dans le cadre </w:t>
      </w:r>
      <w:r w:rsidRPr="00A534BD">
        <w:rPr>
          <w:rFonts w:ascii="Arial" w:eastAsia="Calibri" w:hAnsi="Arial" w:cs="Arial"/>
          <w:sz w:val="22"/>
          <w:szCs w:val="22"/>
          <w:lang w:eastAsia="en-US"/>
        </w:rPr>
        <w:t xml:space="preserve">de l’exécution du présent marché subséquent seront les suivantes : </w:t>
      </w:r>
    </w:p>
    <w:p w14:paraId="340DEFDC" w14:textId="77777777" w:rsidR="00097886" w:rsidRPr="00A534BD" w:rsidRDefault="00097886" w:rsidP="00A534BD">
      <w:pPr>
        <w:spacing w:before="240" w:after="160" w:line="259" w:lineRule="auto"/>
        <w:rPr>
          <w:rFonts w:ascii="Arial" w:eastAsia="Calibri" w:hAnsi="Arial" w:cs="Arial"/>
          <w:sz w:val="22"/>
          <w:szCs w:val="22"/>
          <w:lang w:eastAsia="en-US"/>
        </w:rPr>
      </w:pPr>
    </w:p>
    <w:p w14:paraId="2C793D74" w14:textId="77777777"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r w:rsidRPr="00A534BD">
        <w:rPr>
          <w:rFonts w:ascii="Arial" w:eastAsia="Calibri" w:hAnsi="Arial" w:cs="Arial"/>
          <w:sz w:val="22"/>
          <w:szCs w:val="22"/>
          <w:lang w:eastAsia="en-US"/>
        </w:rPr>
        <w:t>L’offre sur laquelle s’engage le titulaire en matière de mesures prises en faveur de sa responsabilité sociétale est décrite dans le cadre de réponse technique remis à l’appui de son offre (partie 7).</w:t>
      </w:r>
    </w:p>
    <w:p w14:paraId="423742D0" w14:textId="77777777" w:rsidR="00A534BD" w:rsidRPr="00A534BD" w:rsidRDefault="00A534BD" w:rsidP="00A534BD">
      <w:pPr>
        <w:tabs>
          <w:tab w:val="left" w:pos="1455"/>
        </w:tabs>
        <w:spacing w:after="160" w:line="259" w:lineRule="auto"/>
        <w:jc w:val="both"/>
        <w:rPr>
          <w:rFonts w:ascii="Arial" w:eastAsia="Calibri" w:hAnsi="Arial" w:cs="Arial"/>
          <w:sz w:val="22"/>
          <w:szCs w:val="22"/>
          <w:lang w:eastAsia="en-US"/>
        </w:rPr>
      </w:pPr>
    </w:p>
    <w:bookmarkEnd w:id="0"/>
    <w:bookmarkEnd w:id="1"/>
    <w:p w14:paraId="31C8581E" w14:textId="77777777" w:rsidR="00BC366A" w:rsidRDefault="00BC366A">
      <w:pPr>
        <w:rPr>
          <w:rFonts w:ascii="Arial" w:hAnsi="Arial" w:cs="Arial"/>
          <w:b/>
          <w:bCs/>
          <w:sz w:val="22"/>
          <w:szCs w:val="22"/>
        </w:rPr>
      </w:pPr>
    </w:p>
    <w:sectPr w:rsidR="00BC366A" w:rsidSect="00A534BD">
      <w:footerReference w:type="even" r:id="rId12"/>
      <w:footerReference w:type="default" r:id="rId13"/>
      <w:footerReference w:type="first" r:id="rId14"/>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A2FAC" w14:textId="77777777" w:rsidR="00EA346D" w:rsidRDefault="00EA346D">
      <w:r>
        <w:separator/>
      </w:r>
    </w:p>
  </w:endnote>
  <w:endnote w:type="continuationSeparator" w:id="0">
    <w:p w14:paraId="051E4BEF" w14:textId="77777777" w:rsidR="00EA346D" w:rsidRDefault="00EA3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5E41E" w14:textId="77777777" w:rsidR="005317B4" w:rsidRDefault="005317B4" w:rsidP="00813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EED0E9D" w14:textId="77777777" w:rsidR="005317B4" w:rsidRDefault="005317B4" w:rsidP="00813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6931105"/>
      <w:docPartObj>
        <w:docPartGallery w:val="Page Numbers (Bottom of Page)"/>
        <w:docPartUnique/>
      </w:docPartObj>
    </w:sdtPr>
    <w:sdtEndPr/>
    <w:sdtContent>
      <w:sdt>
        <w:sdtPr>
          <w:id w:val="-1769616900"/>
          <w:docPartObj>
            <w:docPartGallery w:val="Page Numbers (Top of Page)"/>
            <w:docPartUnique/>
          </w:docPartObj>
        </w:sdtPr>
        <w:sdtEndPr/>
        <w:sdtContent>
          <w:p w14:paraId="050DFEAF" w14:textId="37112F5F" w:rsidR="00A534BD" w:rsidRDefault="00A534BD" w:rsidP="00A534BD">
            <w:pPr>
              <w:pStyle w:val="Pieddepage"/>
              <w:rPr>
                <w:rFonts w:ascii="Calibri" w:eastAsia="Calibri" w:hAnsi="Calibri"/>
                <w:sz w:val="22"/>
                <w:szCs w:val="22"/>
                <w:lang w:eastAsia="en-US"/>
              </w:rPr>
            </w:pPr>
            <w:r w:rsidRPr="00A534BD">
              <w:rPr>
                <w:rFonts w:ascii="Calibri" w:eastAsia="Calibri" w:hAnsi="Calibri"/>
                <w:sz w:val="22"/>
                <w:szCs w:val="22"/>
                <w:lang w:eastAsia="en-US"/>
              </w:rPr>
              <w:t xml:space="preserve">Marché subséquent à l’accord-cadre instrumentation scientifique </w:t>
            </w:r>
          </w:p>
          <w:p w14:paraId="09B3D1C8" w14:textId="4A06CBA8" w:rsidR="005317B4" w:rsidRPr="00A534BD" w:rsidRDefault="00A534BD" w:rsidP="00A534BD">
            <w:pPr>
              <w:pStyle w:val="Pieddepage"/>
              <w:rPr>
                <w:rFonts w:ascii="Calibri" w:eastAsia="Calibri" w:hAnsi="Calibri"/>
                <w:sz w:val="22"/>
                <w:szCs w:val="22"/>
                <w:lang w:eastAsia="en-US"/>
              </w:rPr>
            </w:pPr>
            <w:r w:rsidRPr="00A534BD">
              <w:rPr>
                <w:rFonts w:ascii="Calibri" w:eastAsia="Calibri" w:hAnsi="Calibri"/>
                <w:sz w:val="22"/>
                <w:szCs w:val="22"/>
                <w:lang w:eastAsia="en-US"/>
              </w:rPr>
              <w:t>Annexe au CST - Cahier des clauses techniques particulières</w:t>
            </w:r>
            <w:r>
              <w:rPr>
                <w:rFonts w:ascii="Calibri" w:eastAsia="Calibri" w:hAnsi="Calibri"/>
                <w:sz w:val="22"/>
                <w:szCs w:val="22"/>
                <w:lang w:eastAsia="en-US"/>
              </w:rPr>
              <w:t xml:space="preserve">                                                                   </w:t>
            </w:r>
            <w:r w:rsidRPr="00A534BD">
              <w:rPr>
                <w:rFonts w:ascii="Calibri" w:eastAsia="Calibri" w:hAnsi="Calibri"/>
                <w:sz w:val="22"/>
                <w:szCs w:val="22"/>
                <w:lang w:eastAsia="en-US"/>
              </w:rPr>
              <w:t xml:space="preserve">Page </w:t>
            </w:r>
            <w:r w:rsidRPr="00A534BD">
              <w:rPr>
                <w:rFonts w:ascii="Calibri" w:eastAsia="Calibri" w:hAnsi="Calibri"/>
                <w:b/>
                <w:bCs/>
                <w:sz w:val="22"/>
                <w:szCs w:val="22"/>
                <w:lang w:eastAsia="en-US"/>
              </w:rPr>
              <w:fldChar w:fldCharType="begin"/>
            </w:r>
            <w:r w:rsidRPr="00A534BD">
              <w:rPr>
                <w:rFonts w:ascii="Calibri" w:eastAsia="Calibri" w:hAnsi="Calibri"/>
                <w:b/>
                <w:bCs/>
                <w:sz w:val="22"/>
                <w:szCs w:val="22"/>
                <w:lang w:eastAsia="en-US"/>
              </w:rPr>
              <w:instrText>PAGE  \* Arabic  \* MERGEFORMAT</w:instrText>
            </w:r>
            <w:r w:rsidRPr="00A534BD">
              <w:rPr>
                <w:rFonts w:ascii="Calibri" w:eastAsia="Calibri" w:hAnsi="Calibri"/>
                <w:b/>
                <w:bCs/>
                <w:sz w:val="22"/>
                <w:szCs w:val="22"/>
                <w:lang w:eastAsia="en-US"/>
              </w:rPr>
              <w:fldChar w:fldCharType="separate"/>
            </w:r>
            <w:r w:rsidR="00152BF6">
              <w:rPr>
                <w:rFonts w:ascii="Calibri" w:eastAsia="Calibri" w:hAnsi="Calibri"/>
                <w:b/>
                <w:bCs/>
                <w:noProof/>
                <w:sz w:val="22"/>
                <w:szCs w:val="22"/>
                <w:lang w:eastAsia="en-US"/>
              </w:rPr>
              <w:t>4</w:t>
            </w:r>
            <w:r w:rsidRPr="00A534BD">
              <w:rPr>
                <w:rFonts w:ascii="Calibri" w:eastAsia="Calibri" w:hAnsi="Calibri"/>
                <w:b/>
                <w:bCs/>
                <w:sz w:val="22"/>
                <w:szCs w:val="22"/>
                <w:lang w:eastAsia="en-US"/>
              </w:rPr>
              <w:fldChar w:fldCharType="end"/>
            </w:r>
            <w:r w:rsidRPr="00A534BD">
              <w:rPr>
                <w:rFonts w:ascii="Calibri" w:eastAsia="Calibri" w:hAnsi="Calibri"/>
                <w:sz w:val="22"/>
                <w:szCs w:val="22"/>
                <w:lang w:eastAsia="en-US"/>
              </w:rPr>
              <w:t xml:space="preserve"> sur </w:t>
            </w:r>
            <w:r w:rsidRPr="00A534BD">
              <w:rPr>
                <w:rFonts w:ascii="Calibri" w:eastAsia="Calibri" w:hAnsi="Calibri"/>
                <w:b/>
                <w:bCs/>
                <w:sz w:val="22"/>
                <w:szCs w:val="22"/>
                <w:lang w:eastAsia="en-US"/>
              </w:rPr>
              <w:fldChar w:fldCharType="begin"/>
            </w:r>
            <w:r w:rsidRPr="00A534BD">
              <w:rPr>
                <w:rFonts w:ascii="Calibri" w:eastAsia="Calibri" w:hAnsi="Calibri"/>
                <w:b/>
                <w:bCs/>
                <w:sz w:val="22"/>
                <w:szCs w:val="22"/>
                <w:lang w:eastAsia="en-US"/>
              </w:rPr>
              <w:instrText>NUMPAGES  \* Arabic  \* MERGEFORMAT</w:instrText>
            </w:r>
            <w:r w:rsidRPr="00A534BD">
              <w:rPr>
                <w:rFonts w:ascii="Calibri" w:eastAsia="Calibri" w:hAnsi="Calibri"/>
                <w:b/>
                <w:bCs/>
                <w:sz w:val="22"/>
                <w:szCs w:val="22"/>
                <w:lang w:eastAsia="en-US"/>
              </w:rPr>
              <w:fldChar w:fldCharType="separate"/>
            </w:r>
            <w:r w:rsidR="00152BF6">
              <w:rPr>
                <w:rFonts w:ascii="Calibri" w:eastAsia="Calibri" w:hAnsi="Calibri"/>
                <w:b/>
                <w:bCs/>
                <w:noProof/>
                <w:sz w:val="22"/>
                <w:szCs w:val="22"/>
                <w:lang w:eastAsia="en-US"/>
              </w:rPr>
              <w:t>6</w:t>
            </w:r>
            <w:r w:rsidRPr="00A534BD">
              <w:rPr>
                <w:rFonts w:ascii="Calibri" w:eastAsia="Calibri" w:hAnsi="Calibri"/>
                <w:b/>
                <w:bCs/>
                <w:sz w:val="22"/>
                <w:szCs w:val="22"/>
                <w:lang w:eastAsia="en-U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2CA54" w14:textId="77777777" w:rsidR="00A534BD" w:rsidRPr="00A534BD" w:rsidRDefault="00A534BD" w:rsidP="00A534BD">
    <w:pPr>
      <w:tabs>
        <w:tab w:val="center" w:pos="4536"/>
        <w:tab w:val="right" w:pos="9072"/>
      </w:tabs>
      <w:rPr>
        <w:rFonts w:ascii="Calibri" w:eastAsia="Calibri" w:hAnsi="Calibri"/>
        <w:sz w:val="22"/>
        <w:szCs w:val="22"/>
        <w:lang w:eastAsia="en-US"/>
      </w:rPr>
    </w:pPr>
    <w:r w:rsidRPr="00A534BD">
      <w:rPr>
        <w:rFonts w:ascii="Calibri" w:eastAsia="Calibri" w:hAnsi="Calibri"/>
        <w:sz w:val="22"/>
        <w:szCs w:val="22"/>
        <w:lang w:eastAsia="en-US"/>
      </w:rPr>
      <w:t>Marché subséquent à l’accord-cadre instrumentation scientifique n°</w:t>
    </w:r>
  </w:p>
  <w:p w14:paraId="1498DCB3" w14:textId="77777777" w:rsidR="00A534BD" w:rsidRPr="00A534BD" w:rsidRDefault="00A534BD" w:rsidP="00A534BD">
    <w:pPr>
      <w:tabs>
        <w:tab w:val="center" w:pos="4536"/>
        <w:tab w:val="right" w:pos="9072"/>
      </w:tabs>
      <w:rPr>
        <w:rFonts w:ascii="Calibri" w:eastAsia="Calibri" w:hAnsi="Calibri"/>
        <w:sz w:val="22"/>
        <w:szCs w:val="22"/>
        <w:lang w:eastAsia="en-US"/>
      </w:rPr>
    </w:pPr>
    <w:r w:rsidRPr="00A534BD">
      <w:rPr>
        <w:rFonts w:ascii="Calibri" w:eastAsia="Calibri" w:hAnsi="Calibri"/>
        <w:sz w:val="22"/>
        <w:szCs w:val="22"/>
        <w:lang w:eastAsia="en-US"/>
      </w:rPr>
      <w:t>Annexe au CST - Cahier des clauses techniques particulières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A605F" w14:textId="77777777" w:rsidR="00EA346D" w:rsidRDefault="00EA346D">
      <w:r>
        <w:separator/>
      </w:r>
    </w:p>
  </w:footnote>
  <w:footnote w:type="continuationSeparator" w:id="0">
    <w:p w14:paraId="07204B01" w14:textId="77777777" w:rsidR="00EA346D" w:rsidRDefault="00EA34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52D75563"/>
    <w:multiLevelType w:val="multilevel"/>
    <w:tmpl w:val="2080203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3FB03FC"/>
    <w:multiLevelType w:val="multilevel"/>
    <w:tmpl w:val="B57A81E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DBC3EC2"/>
    <w:multiLevelType w:val="hybridMultilevel"/>
    <w:tmpl w:val="9CD89DF8"/>
    <w:lvl w:ilvl="0" w:tplc="74624D9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46795C"/>
    <w:multiLevelType w:val="hybridMultilevel"/>
    <w:tmpl w:val="76889CB2"/>
    <w:lvl w:ilvl="0" w:tplc="24DEC3D0">
      <w:start w:val="1"/>
      <w:numFmt w:val="decimal"/>
      <w:pStyle w:val="Listepuce"/>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0CE116D"/>
    <w:multiLevelType w:val="hybridMultilevel"/>
    <w:tmpl w:val="84866D1E"/>
    <w:lvl w:ilvl="0" w:tplc="1E724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1117E4"/>
    <w:multiLevelType w:val="hybridMultilevel"/>
    <w:tmpl w:val="6B843E40"/>
    <w:lvl w:ilvl="0" w:tplc="34285B14">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74E553BC"/>
    <w:multiLevelType w:val="hybridMultilevel"/>
    <w:tmpl w:val="DB04C8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71419C"/>
    <w:multiLevelType w:val="hybridMultilevel"/>
    <w:tmpl w:val="FFE494FC"/>
    <w:lvl w:ilvl="0" w:tplc="8A86E0B4">
      <w:start w:val="1"/>
      <w:numFmt w:val="decimal"/>
      <w:lvlText w:val="Article %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766070422">
    <w:abstractNumId w:val="4"/>
  </w:num>
  <w:num w:numId="2" w16cid:durableId="1839030387">
    <w:abstractNumId w:val="7"/>
  </w:num>
  <w:num w:numId="3" w16cid:durableId="1844204221">
    <w:abstractNumId w:val="8"/>
  </w:num>
  <w:num w:numId="4" w16cid:durableId="939214627">
    <w:abstractNumId w:val="1"/>
  </w:num>
  <w:num w:numId="5" w16cid:durableId="571085914">
    <w:abstractNumId w:val="2"/>
  </w:num>
  <w:num w:numId="6" w16cid:durableId="216863057">
    <w:abstractNumId w:val="5"/>
  </w:num>
  <w:num w:numId="7" w16cid:durableId="1308127320">
    <w:abstractNumId w:val="3"/>
  </w:num>
  <w:num w:numId="8" w16cid:durableId="154909900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F9"/>
    <w:rsid w:val="00005A7B"/>
    <w:rsid w:val="00012C2C"/>
    <w:rsid w:val="000138F0"/>
    <w:rsid w:val="00015680"/>
    <w:rsid w:val="000422F5"/>
    <w:rsid w:val="00047145"/>
    <w:rsid w:val="000479FB"/>
    <w:rsid w:val="00051933"/>
    <w:rsid w:val="00060F1F"/>
    <w:rsid w:val="00065C7F"/>
    <w:rsid w:val="00072D0B"/>
    <w:rsid w:val="0007673C"/>
    <w:rsid w:val="00080653"/>
    <w:rsid w:val="000819C6"/>
    <w:rsid w:val="00082DDE"/>
    <w:rsid w:val="0008304B"/>
    <w:rsid w:val="00083A19"/>
    <w:rsid w:val="00086C86"/>
    <w:rsid w:val="0009296B"/>
    <w:rsid w:val="00097886"/>
    <w:rsid w:val="000A64B3"/>
    <w:rsid w:val="000A66F9"/>
    <w:rsid w:val="000A706C"/>
    <w:rsid w:val="000B111D"/>
    <w:rsid w:val="000B2E97"/>
    <w:rsid w:val="000C3ABC"/>
    <w:rsid w:val="000D62D4"/>
    <w:rsid w:val="000E56A9"/>
    <w:rsid w:val="00100D7A"/>
    <w:rsid w:val="00101FF8"/>
    <w:rsid w:val="001068C0"/>
    <w:rsid w:val="00110861"/>
    <w:rsid w:val="001177AD"/>
    <w:rsid w:val="00123572"/>
    <w:rsid w:val="00140680"/>
    <w:rsid w:val="001424AA"/>
    <w:rsid w:val="00144352"/>
    <w:rsid w:val="00144915"/>
    <w:rsid w:val="001465C4"/>
    <w:rsid w:val="00152BF6"/>
    <w:rsid w:val="00152E15"/>
    <w:rsid w:val="00154B80"/>
    <w:rsid w:val="001645DA"/>
    <w:rsid w:val="00165E50"/>
    <w:rsid w:val="00170931"/>
    <w:rsid w:val="001724D8"/>
    <w:rsid w:val="00195CFC"/>
    <w:rsid w:val="001963ED"/>
    <w:rsid w:val="001A4E48"/>
    <w:rsid w:val="001B1661"/>
    <w:rsid w:val="001C13DF"/>
    <w:rsid w:val="001C13E5"/>
    <w:rsid w:val="001C6ACF"/>
    <w:rsid w:val="001D029E"/>
    <w:rsid w:val="001D7E73"/>
    <w:rsid w:val="001F0F88"/>
    <w:rsid w:val="001F1822"/>
    <w:rsid w:val="00200639"/>
    <w:rsid w:val="00204B90"/>
    <w:rsid w:val="00212969"/>
    <w:rsid w:val="002252F0"/>
    <w:rsid w:val="00225E27"/>
    <w:rsid w:val="00232E29"/>
    <w:rsid w:val="0024596A"/>
    <w:rsid w:val="00252484"/>
    <w:rsid w:val="00265A23"/>
    <w:rsid w:val="0028192A"/>
    <w:rsid w:val="0029191B"/>
    <w:rsid w:val="002966BE"/>
    <w:rsid w:val="002A60A6"/>
    <w:rsid w:val="002B7E28"/>
    <w:rsid w:val="002D4ECB"/>
    <w:rsid w:val="002D527A"/>
    <w:rsid w:val="002E0A45"/>
    <w:rsid w:val="002E0B57"/>
    <w:rsid w:val="00311CF2"/>
    <w:rsid w:val="003159D8"/>
    <w:rsid w:val="0032765F"/>
    <w:rsid w:val="00330432"/>
    <w:rsid w:val="00332CEE"/>
    <w:rsid w:val="003347D0"/>
    <w:rsid w:val="00337E6D"/>
    <w:rsid w:val="00340144"/>
    <w:rsid w:val="003402EA"/>
    <w:rsid w:val="00340BC0"/>
    <w:rsid w:val="0034233C"/>
    <w:rsid w:val="00342C81"/>
    <w:rsid w:val="00344095"/>
    <w:rsid w:val="00350CC2"/>
    <w:rsid w:val="0035532D"/>
    <w:rsid w:val="0036318C"/>
    <w:rsid w:val="003760CD"/>
    <w:rsid w:val="00377516"/>
    <w:rsid w:val="003A0DCF"/>
    <w:rsid w:val="003A4896"/>
    <w:rsid w:val="003B0B6D"/>
    <w:rsid w:val="003B0BE8"/>
    <w:rsid w:val="003B1998"/>
    <w:rsid w:val="003B691B"/>
    <w:rsid w:val="003C3068"/>
    <w:rsid w:val="003C7AE0"/>
    <w:rsid w:val="003D133D"/>
    <w:rsid w:val="003D5892"/>
    <w:rsid w:val="003E4BE2"/>
    <w:rsid w:val="003E577B"/>
    <w:rsid w:val="00402F86"/>
    <w:rsid w:val="00405629"/>
    <w:rsid w:val="00413D0D"/>
    <w:rsid w:val="0041463C"/>
    <w:rsid w:val="00416772"/>
    <w:rsid w:val="00423D38"/>
    <w:rsid w:val="00423DBF"/>
    <w:rsid w:val="00437EF2"/>
    <w:rsid w:val="00440EB8"/>
    <w:rsid w:val="00445E3D"/>
    <w:rsid w:val="0045774D"/>
    <w:rsid w:val="004717E8"/>
    <w:rsid w:val="00472E9F"/>
    <w:rsid w:val="004824E1"/>
    <w:rsid w:val="00482D87"/>
    <w:rsid w:val="00492709"/>
    <w:rsid w:val="00492D0D"/>
    <w:rsid w:val="004935E7"/>
    <w:rsid w:val="004938C3"/>
    <w:rsid w:val="00494711"/>
    <w:rsid w:val="00495AC0"/>
    <w:rsid w:val="004A01FD"/>
    <w:rsid w:val="004A0609"/>
    <w:rsid w:val="004A1EE2"/>
    <w:rsid w:val="004B18C0"/>
    <w:rsid w:val="004B247B"/>
    <w:rsid w:val="004B24E6"/>
    <w:rsid w:val="004C1083"/>
    <w:rsid w:val="004C2249"/>
    <w:rsid w:val="004E58E2"/>
    <w:rsid w:val="004F075C"/>
    <w:rsid w:val="004F43A0"/>
    <w:rsid w:val="004F5283"/>
    <w:rsid w:val="0051154B"/>
    <w:rsid w:val="00516D94"/>
    <w:rsid w:val="00517882"/>
    <w:rsid w:val="00521EC2"/>
    <w:rsid w:val="005252F7"/>
    <w:rsid w:val="005317B4"/>
    <w:rsid w:val="00532FC9"/>
    <w:rsid w:val="00534959"/>
    <w:rsid w:val="00545070"/>
    <w:rsid w:val="005620C6"/>
    <w:rsid w:val="00565219"/>
    <w:rsid w:val="00572CB6"/>
    <w:rsid w:val="00576F0A"/>
    <w:rsid w:val="00577C80"/>
    <w:rsid w:val="005903DF"/>
    <w:rsid w:val="00590956"/>
    <w:rsid w:val="00591272"/>
    <w:rsid w:val="005951EA"/>
    <w:rsid w:val="00597070"/>
    <w:rsid w:val="005A1C4C"/>
    <w:rsid w:val="005A50D6"/>
    <w:rsid w:val="005A7358"/>
    <w:rsid w:val="005B2898"/>
    <w:rsid w:val="005B47A7"/>
    <w:rsid w:val="005B7A7A"/>
    <w:rsid w:val="005C0029"/>
    <w:rsid w:val="005C00F0"/>
    <w:rsid w:val="005D5AFA"/>
    <w:rsid w:val="005E0803"/>
    <w:rsid w:val="005F4C3B"/>
    <w:rsid w:val="005F653D"/>
    <w:rsid w:val="00600040"/>
    <w:rsid w:val="006079AB"/>
    <w:rsid w:val="00610D39"/>
    <w:rsid w:val="00612A12"/>
    <w:rsid w:val="00623602"/>
    <w:rsid w:val="00633E84"/>
    <w:rsid w:val="006371C3"/>
    <w:rsid w:val="0063780B"/>
    <w:rsid w:val="006400D4"/>
    <w:rsid w:val="00640C6A"/>
    <w:rsid w:val="00640CC2"/>
    <w:rsid w:val="006422B9"/>
    <w:rsid w:val="006648DD"/>
    <w:rsid w:val="0066581B"/>
    <w:rsid w:val="00674C10"/>
    <w:rsid w:val="00690266"/>
    <w:rsid w:val="00692440"/>
    <w:rsid w:val="0069418D"/>
    <w:rsid w:val="006970C4"/>
    <w:rsid w:val="00697C92"/>
    <w:rsid w:val="006A03D4"/>
    <w:rsid w:val="006B013B"/>
    <w:rsid w:val="006B50F9"/>
    <w:rsid w:val="006C16C6"/>
    <w:rsid w:val="006C1A1F"/>
    <w:rsid w:val="006C7AEB"/>
    <w:rsid w:val="006D0581"/>
    <w:rsid w:val="006D34F3"/>
    <w:rsid w:val="006D764C"/>
    <w:rsid w:val="006E5FD7"/>
    <w:rsid w:val="006E7679"/>
    <w:rsid w:val="006F3A1B"/>
    <w:rsid w:val="006F4A26"/>
    <w:rsid w:val="00700915"/>
    <w:rsid w:val="00715B2A"/>
    <w:rsid w:val="0071692D"/>
    <w:rsid w:val="00722EAA"/>
    <w:rsid w:val="007352F0"/>
    <w:rsid w:val="00742C93"/>
    <w:rsid w:val="007503A5"/>
    <w:rsid w:val="00771460"/>
    <w:rsid w:val="007748F4"/>
    <w:rsid w:val="00774CC8"/>
    <w:rsid w:val="0077619C"/>
    <w:rsid w:val="0079759C"/>
    <w:rsid w:val="007A6452"/>
    <w:rsid w:val="007B6B76"/>
    <w:rsid w:val="007B7E93"/>
    <w:rsid w:val="007C29CE"/>
    <w:rsid w:val="007C2A3E"/>
    <w:rsid w:val="007C38AA"/>
    <w:rsid w:val="007C6C3B"/>
    <w:rsid w:val="007C71C1"/>
    <w:rsid w:val="007C76BC"/>
    <w:rsid w:val="007D0BC1"/>
    <w:rsid w:val="007D3758"/>
    <w:rsid w:val="007D4B42"/>
    <w:rsid w:val="007D6612"/>
    <w:rsid w:val="007E3E77"/>
    <w:rsid w:val="007E7250"/>
    <w:rsid w:val="007E7B80"/>
    <w:rsid w:val="008031E2"/>
    <w:rsid w:val="00811866"/>
    <w:rsid w:val="00812246"/>
    <w:rsid w:val="008130E5"/>
    <w:rsid w:val="008134F9"/>
    <w:rsid w:val="008244A3"/>
    <w:rsid w:val="008369CA"/>
    <w:rsid w:val="00861A38"/>
    <w:rsid w:val="00864C85"/>
    <w:rsid w:val="00866DAA"/>
    <w:rsid w:val="00883DD0"/>
    <w:rsid w:val="00895677"/>
    <w:rsid w:val="008A68F0"/>
    <w:rsid w:val="008B36EC"/>
    <w:rsid w:val="008B4678"/>
    <w:rsid w:val="008C267D"/>
    <w:rsid w:val="008C28C9"/>
    <w:rsid w:val="008D5D7C"/>
    <w:rsid w:val="008E122E"/>
    <w:rsid w:val="008F348E"/>
    <w:rsid w:val="009000B8"/>
    <w:rsid w:val="00911796"/>
    <w:rsid w:val="00911DCD"/>
    <w:rsid w:val="00911E3D"/>
    <w:rsid w:val="00915FF3"/>
    <w:rsid w:val="00923A94"/>
    <w:rsid w:val="00951207"/>
    <w:rsid w:val="00952C2B"/>
    <w:rsid w:val="0095751F"/>
    <w:rsid w:val="00962DAD"/>
    <w:rsid w:val="00966CB1"/>
    <w:rsid w:val="009737B8"/>
    <w:rsid w:val="0098777C"/>
    <w:rsid w:val="009925D3"/>
    <w:rsid w:val="009A6BE8"/>
    <w:rsid w:val="009B65B2"/>
    <w:rsid w:val="009C2D1B"/>
    <w:rsid w:val="009C59D9"/>
    <w:rsid w:val="009D29CA"/>
    <w:rsid w:val="009F0129"/>
    <w:rsid w:val="009F0184"/>
    <w:rsid w:val="009F0A60"/>
    <w:rsid w:val="009F21FA"/>
    <w:rsid w:val="009F34A0"/>
    <w:rsid w:val="00A05531"/>
    <w:rsid w:val="00A071EB"/>
    <w:rsid w:val="00A075AF"/>
    <w:rsid w:val="00A07CEA"/>
    <w:rsid w:val="00A1584F"/>
    <w:rsid w:val="00A300FB"/>
    <w:rsid w:val="00A318F6"/>
    <w:rsid w:val="00A325BA"/>
    <w:rsid w:val="00A36611"/>
    <w:rsid w:val="00A36B1C"/>
    <w:rsid w:val="00A42E37"/>
    <w:rsid w:val="00A514FE"/>
    <w:rsid w:val="00A534BD"/>
    <w:rsid w:val="00A53B63"/>
    <w:rsid w:val="00A55E0E"/>
    <w:rsid w:val="00A628BE"/>
    <w:rsid w:val="00A63332"/>
    <w:rsid w:val="00A665EE"/>
    <w:rsid w:val="00A7570C"/>
    <w:rsid w:val="00A833E3"/>
    <w:rsid w:val="00A869E6"/>
    <w:rsid w:val="00A93359"/>
    <w:rsid w:val="00A93709"/>
    <w:rsid w:val="00A96EFB"/>
    <w:rsid w:val="00AA38B1"/>
    <w:rsid w:val="00AA7E2A"/>
    <w:rsid w:val="00AB1103"/>
    <w:rsid w:val="00AB5155"/>
    <w:rsid w:val="00AB67BE"/>
    <w:rsid w:val="00AD5199"/>
    <w:rsid w:val="00AD78DF"/>
    <w:rsid w:val="00AE0297"/>
    <w:rsid w:val="00AE773F"/>
    <w:rsid w:val="00AF3034"/>
    <w:rsid w:val="00AF4CFC"/>
    <w:rsid w:val="00B050C4"/>
    <w:rsid w:val="00B07227"/>
    <w:rsid w:val="00B17534"/>
    <w:rsid w:val="00B20C72"/>
    <w:rsid w:val="00B22140"/>
    <w:rsid w:val="00B2713E"/>
    <w:rsid w:val="00B3022C"/>
    <w:rsid w:val="00B351A5"/>
    <w:rsid w:val="00B3616F"/>
    <w:rsid w:val="00B4336B"/>
    <w:rsid w:val="00B44538"/>
    <w:rsid w:val="00B4771B"/>
    <w:rsid w:val="00B665B7"/>
    <w:rsid w:val="00B7501D"/>
    <w:rsid w:val="00B956AA"/>
    <w:rsid w:val="00BA5714"/>
    <w:rsid w:val="00BA586C"/>
    <w:rsid w:val="00BB11B7"/>
    <w:rsid w:val="00BB509B"/>
    <w:rsid w:val="00BC366A"/>
    <w:rsid w:val="00BC7136"/>
    <w:rsid w:val="00BD3407"/>
    <w:rsid w:val="00BD4B03"/>
    <w:rsid w:val="00C00EC8"/>
    <w:rsid w:val="00C046F0"/>
    <w:rsid w:val="00C12538"/>
    <w:rsid w:val="00C35022"/>
    <w:rsid w:val="00C41292"/>
    <w:rsid w:val="00C444EE"/>
    <w:rsid w:val="00C555B9"/>
    <w:rsid w:val="00C60434"/>
    <w:rsid w:val="00C62130"/>
    <w:rsid w:val="00C71525"/>
    <w:rsid w:val="00C74673"/>
    <w:rsid w:val="00C7661B"/>
    <w:rsid w:val="00C77676"/>
    <w:rsid w:val="00C81230"/>
    <w:rsid w:val="00C86500"/>
    <w:rsid w:val="00C93975"/>
    <w:rsid w:val="00CA25EB"/>
    <w:rsid w:val="00CA2F3B"/>
    <w:rsid w:val="00CB53BC"/>
    <w:rsid w:val="00CC39CA"/>
    <w:rsid w:val="00CC6336"/>
    <w:rsid w:val="00CD1799"/>
    <w:rsid w:val="00CF0432"/>
    <w:rsid w:val="00CF1616"/>
    <w:rsid w:val="00D02B38"/>
    <w:rsid w:val="00D032DB"/>
    <w:rsid w:val="00D22F65"/>
    <w:rsid w:val="00D25834"/>
    <w:rsid w:val="00D26757"/>
    <w:rsid w:val="00D3011E"/>
    <w:rsid w:val="00D322BD"/>
    <w:rsid w:val="00D3756A"/>
    <w:rsid w:val="00D4222B"/>
    <w:rsid w:val="00D50F63"/>
    <w:rsid w:val="00D512F6"/>
    <w:rsid w:val="00D53BC6"/>
    <w:rsid w:val="00D65B5E"/>
    <w:rsid w:val="00D73BB8"/>
    <w:rsid w:val="00D76903"/>
    <w:rsid w:val="00D76B2D"/>
    <w:rsid w:val="00D82B85"/>
    <w:rsid w:val="00D8613B"/>
    <w:rsid w:val="00D87B2F"/>
    <w:rsid w:val="00DA0EC3"/>
    <w:rsid w:val="00DA393C"/>
    <w:rsid w:val="00DA3DF8"/>
    <w:rsid w:val="00DA43CE"/>
    <w:rsid w:val="00DB290D"/>
    <w:rsid w:val="00DB7238"/>
    <w:rsid w:val="00DC28BE"/>
    <w:rsid w:val="00DC4F03"/>
    <w:rsid w:val="00DD0D01"/>
    <w:rsid w:val="00DD1C3F"/>
    <w:rsid w:val="00DD3336"/>
    <w:rsid w:val="00DD612D"/>
    <w:rsid w:val="00DF0BB0"/>
    <w:rsid w:val="00E17339"/>
    <w:rsid w:val="00E207B9"/>
    <w:rsid w:val="00E36A81"/>
    <w:rsid w:val="00E37F9C"/>
    <w:rsid w:val="00E43B3C"/>
    <w:rsid w:val="00E50714"/>
    <w:rsid w:val="00E551EF"/>
    <w:rsid w:val="00E61C60"/>
    <w:rsid w:val="00E64755"/>
    <w:rsid w:val="00E71FCE"/>
    <w:rsid w:val="00E76633"/>
    <w:rsid w:val="00E76CCB"/>
    <w:rsid w:val="00E77AAC"/>
    <w:rsid w:val="00E823F1"/>
    <w:rsid w:val="00E82645"/>
    <w:rsid w:val="00E83687"/>
    <w:rsid w:val="00EA1BDE"/>
    <w:rsid w:val="00EA346D"/>
    <w:rsid w:val="00EB3093"/>
    <w:rsid w:val="00EB399B"/>
    <w:rsid w:val="00EB6250"/>
    <w:rsid w:val="00ED17C1"/>
    <w:rsid w:val="00EE75A8"/>
    <w:rsid w:val="00F06E61"/>
    <w:rsid w:val="00F165F0"/>
    <w:rsid w:val="00F1712A"/>
    <w:rsid w:val="00F21327"/>
    <w:rsid w:val="00F40F6B"/>
    <w:rsid w:val="00F44163"/>
    <w:rsid w:val="00F50796"/>
    <w:rsid w:val="00F619E9"/>
    <w:rsid w:val="00F7774D"/>
    <w:rsid w:val="00F97C2E"/>
    <w:rsid w:val="00FA063C"/>
    <w:rsid w:val="00FA2932"/>
    <w:rsid w:val="00FA5C37"/>
    <w:rsid w:val="00FA69F5"/>
    <w:rsid w:val="00FB103F"/>
    <w:rsid w:val="00FB3B0B"/>
    <w:rsid w:val="00FC62B1"/>
    <w:rsid w:val="00FC6B67"/>
    <w:rsid w:val="00FC7DD1"/>
    <w:rsid w:val="00FC7E71"/>
    <w:rsid w:val="00FE34FA"/>
    <w:rsid w:val="00FE3B98"/>
    <w:rsid w:val="00FE7EB8"/>
    <w:rsid w:val="00FF2286"/>
    <w:rsid w:val="00FF3303"/>
    <w:rsid w:val="00FF34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30D077"/>
  <w15:docId w15:val="{12C278A6-D9E9-45AF-B0F3-BB0568A9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9CA"/>
    <w:rPr>
      <w:rFonts w:ascii="CG Times" w:hAnsi="CG Times"/>
      <w:sz w:val="24"/>
      <w:szCs w:val="24"/>
    </w:rPr>
  </w:style>
  <w:style w:type="paragraph" w:styleId="Titre1">
    <w:name w:val="heading 1"/>
    <w:basedOn w:val="Normal"/>
    <w:next w:val="Normal"/>
    <w:link w:val="Titre1Car"/>
    <w:uiPriority w:val="99"/>
    <w:qFormat/>
    <w:rsid w:val="008134F9"/>
    <w:pPr>
      <w:keepNext/>
      <w:jc w:val="both"/>
      <w:outlineLvl w:val="0"/>
    </w:pPr>
    <w:rPr>
      <w:rFonts w:ascii="Times New Roman" w:hAnsi="Times New Roman"/>
      <w:b/>
      <w:bCs/>
    </w:rPr>
  </w:style>
  <w:style w:type="paragraph" w:styleId="Titre2">
    <w:name w:val="heading 2"/>
    <w:basedOn w:val="Normal"/>
    <w:next w:val="Normal"/>
    <w:link w:val="Titre2Car"/>
    <w:uiPriority w:val="9"/>
    <w:unhideWhenUsed/>
    <w:qFormat/>
    <w:locked/>
    <w:rsid w:val="0024596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locked/>
    <w:rsid w:val="0024596A"/>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E00E3"/>
    <w:rPr>
      <w:rFonts w:ascii="Cambria" w:eastAsia="Times New Roman" w:hAnsi="Cambria" w:cs="Times New Roman"/>
      <w:b/>
      <w:bCs/>
      <w:kern w:val="32"/>
      <w:sz w:val="32"/>
      <w:szCs w:val="32"/>
    </w:rPr>
  </w:style>
  <w:style w:type="paragraph" w:styleId="Corpsdetexte">
    <w:name w:val="Body Text"/>
    <w:basedOn w:val="Normal"/>
    <w:link w:val="CorpsdetexteCar"/>
    <w:uiPriority w:val="99"/>
    <w:rsid w:val="008134F9"/>
    <w:pPr>
      <w:jc w:val="both"/>
    </w:pPr>
    <w:rPr>
      <w:rFonts w:ascii="Times New Roman" w:hAnsi="Times New Roman"/>
    </w:rPr>
  </w:style>
  <w:style w:type="character" w:customStyle="1" w:styleId="CorpsdetexteCar">
    <w:name w:val="Corps de texte Car"/>
    <w:link w:val="Corpsdetexte"/>
    <w:uiPriority w:val="99"/>
    <w:rsid w:val="007E00E3"/>
    <w:rPr>
      <w:rFonts w:ascii="CG Times" w:hAnsi="CG Times"/>
      <w:sz w:val="24"/>
      <w:szCs w:val="24"/>
    </w:rPr>
  </w:style>
  <w:style w:type="paragraph" w:styleId="Pieddepage">
    <w:name w:val="footer"/>
    <w:basedOn w:val="Normal"/>
    <w:link w:val="PieddepageCar"/>
    <w:uiPriority w:val="99"/>
    <w:rsid w:val="008134F9"/>
    <w:pPr>
      <w:tabs>
        <w:tab w:val="center" w:pos="4536"/>
        <w:tab w:val="right" w:pos="9072"/>
      </w:tabs>
    </w:pPr>
  </w:style>
  <w:style w:type="character" w:customStyle="1" w:styleId="PieddepageCar">
    <w:name w:val="Pied de page Car"/>
    <w:link w:val="Pieddepage"/>
    <w:uiPriority w:val="99"/>
    <w:rsid w:val="007E00E3"/>
    <w:rPr>
      <w:rFonts w:ascii="CG Times" w:hAnsi="CG Times"/>
      <w:sz w:val="24"/>
      <w:szCs w:val="24"/>
    </w:rPr>
  </w:style>
  <w:style w:type="character" w:styleId="Numrodepage">
    <w:name w:val="page number"/>
    <w:uiPriority w:val="99"/>
    <w:rsid w:val="008134F9"/>
    <w:rPr>
      <w:rFonts w:cs="Times New Roman"/>
    </w:rPr>
  </w:style>
  <w:style w:type="paragraph" w:styleId="En-tte">
    <w:name w:val="header"/>
    <w:basedOn w:val="Normal"/>
    <w:link w:val="En-tteCar"/>
    <w:uiPriority w:val="99"/>
    <w:rsid w:val="008134F9"/>
    <w:pPr>
      <w:tabs>
        <w:tab w:val="center" w:pos="4536"/>
        <w:tab w:val="right" w:pos="9072"/>
      </w:tabs>
    </w:pPr>
  </w:style>
  <w:style w:type="character" w:customStyle="1" w:styleId="En-tteCar">
    <w:name w:val="En-tête Car"/>
    <w:link w:val="En-tte"/>
    <w:uiPriority w:val="99"/>
    <w:semiHidden/>
    <w:rsid w:val="007E00E3"/>
    <w:rPr>
      <w:rFonts w:ascii="CG Times" w:hAnsi="CG Times"/>
      <w:sz w:val="24"/>
      <w:szCs w:val="24"/>
    </w:rPr>
  </w:style>
  <w:style w:type="character" w:styleId="Marquedecommentaire">
    <w:name w:val="annotation reference"/>
    <w:semiHidden/>
    <w:rsid w:val="005E0803"/>
    <w:rPr>
      <w:rFonts w:cs="Times New Roman"/>
      <w:sz w:val="16"/>
      <w:szCs w:val="16"/>
    </w:rPr>
  </w:style>
  <w:style w:type="paragraph" w:styleId="Commentaire">
    <w:name w:val="annotation text"/>
    <w:basedOn w:val="Normal"/>
    <w:link w:val="CommentaireCar"/>
    <w:semiHidden/>
    <w:rsid w:val="005E0803"/>
    <w:rPr>
      <w:sz w:val="20"/>
      <w:szCs w:val="20"/>
    </w:rPr>
  </w:style>
  <w:style w:type="character" w:customStyle="1" w:styleId="CommentaireCar">
    <w:name w:val="Commentaire Car"/>
    <w:link w:val="Commentaire"/>
    <w:semiHidden/>
    <w:locked/>
    <w:rsid w:val="005E0803"/>
    <w:rPr>
      <w:rFonts w:ascii="CG Times" w:hAnsi="CG Times" w:cs="Times New Roman"/>
    </w:rPr>
  </w:style>
  <w:style w:type="paragraph" w:styleId="Objetducommentaire">
    <w:name w:val="annotation subject"/>
    <w:basedOn w:val="Commentaire"/>
    <w:next w:val="Commentaire"/>
    <w:link w:val="ObjetducommentaireCar"/>
    <w:uiPriority w:val="99"/>
    <w:semiHidden/>
    <w:rsid w:val="005E0803"/>
    <w:rPr>
      <w:b/>
      <w:bCs/>
    </w:rPr>
  </w:style>
  <w:style w:type="character" w:customStyle="1" w:styleId="ObjetducommentaireCar">
    <w:name w:val="Objet du commentaire Car"/>
    <w:link w:val="Objetducommentaire"/>
    <w:uiPriority w:val="99"/>
    <w:semiHidden/>
    <w:locked/>
    <w:rsid w:val="005E0803"/>
    <w:rPr>
      <w:rFonts w:ascii="CG Times" w:hAnsi="CG Times" w:cs="Times New Roman"/>
      <w:b/>
      <w:bCs/>
    </w:rPr>
  </w:style>
  <w:style w:type="paragraph" w:styleId="Textedebulles">
    <w:name w:val="Balloon Text"/>
    <w:basedOn w:val="Normal"/>
    <w:link w:val="TextedebullesCar"/>
    <w:uiPriority w:val="99"/>
    <w:semiHidden/>
    <w:rsid w:val="005E0803"/>
    <w:rPr>
      <w:rFonts w:ascii="Tahoma" w:hAnsi="Tahoma" w:cs="Tahoma"/>
      <w:sz w:val="16"/>
      <w:szCs w:val="16"/>
    </w:rPr>
  </w:style>
  <w:style w:type="character" w:customStyle="1" w:styleId="TextedebullesCar">
    <w:name w:val="Texte de bulles Car"/>
    <w:link w:val="Textedebulles"/>
    <w:uiPriority w:val="99"/>
    <w:semiHidden/>
    <w:locked/>
    <w:rsid w:val="005E0803"/>
    <w:rPr>
      <w:rFonts w:ascii="Tahoma" w:hAnsi="Tahoma" w:cs="Tahoma"/>
      <w:sz w:val="16"/>
      <w:szCs w:val="16"/>
    </w:rPr>
  </w:style>
  <w:style w:type="paragraph" w:customStyle="1" w:styleId="fcase1ertab">
    <w:name w:val="f_case_1ertab"/>
    <w:basedOn w:val="Normal"/>
    <w:rsid w:val="00700915"/>
    <w:pPr>
      <w:tabs>
        <w:tab w:val="left" w:pos="426"/>
      </w:tabs>
      <w:ind w:left="709" w:hanging="709"/>
      <w:jc w:val="both"/>
    </w:pPr>
    <w:rPr>
      <w:rFonts w:ascii="Univers" w:hAnsi="Univers"/>
      <w:sz w:val="20"/>
      <w:szCs w:val="20"/>
    </w:rPr>
  </w:style>
  <w:style w:type="character" w:customStyle="1" w:styleId="WW8Num2z0">
    <w:name w:val="WW8Num2z0"/>
    <w:uiPriority w:val="99"/>
    <w:rsid w:val="00576F0A"/>
    <w:rPr>
      <w:rFonts w:ascii="Symbol" w:hAnsi="Symbol"/>
      <w:sz w:val="18"/>
    </w:rPr>
  </w:style>
  <w:style w:type="paragraph" w:customStyle="1" w:styleId="Listepuce">
    <w:name w:val="Liste à puce"/>
    <w:basedOn w:val="Normal"/>
    <w:uiPriority w:val="99"/>
    <w:rsid w:val="00576F0A"/>
    <w:pPr>
      <w:widowControl w:val="0"/>
      <w:numPr>
        <w:numId w:val="1"/>
      </w:numPr>
      <w:tabs>
        <w:tab w:val="left" w:pos="0"/>
      </w:tabs>
      <w:suppressAutoHyphens/>
      <w:spacing w:before="60"/>
      <w:ind w:right="567"/>
      <w:jc w:val="both"/>
    </w:pPr>
    <w:rPr>
      <w:rFonts w:ascii="Times New Roman" w:hAnsi="Times New Roman"/>
      <w:sz w:val="20"/>
      <w:szCs w:val="20"/>
    </w:rPr>
  </w:style>
  <w:style w:type="paragraph" w:styleId="Retraitnormal">
    <w:name w:val="Normal Indent"/>
    <w:basedOn w:val="Normal"/>
    <w:uiPriority w:val="99"/>
    <w:rsid w:val="00FF3303"/>
    <w:pPr>
      <w:ind w:left="708"/>
    </w:pPr>
  </w:style>
  <w:style w:type="paragraph" w:customStyle="1" w:styleId="fcasegauche">
    <w:name w:val="f_case_gauche"/>
    <w:basedOn w:val="Normal"/>
    <w:uiPriority w:val="99"/>
    <w:rsid w:val="007C2A3E"/>
    <w:pPr>
      <w:spacing w:after="60"/>
      <w:ind w:left="284" w:hanging="284"/>
      <w:jc w:val="both"/>
    </w:pPr>
    <w:rPr>
      <w:rFonts w:ascii="Univers" w:hAnsi="Univers"/>
      <w:sz w:val="20"/>
      <w:szCs w:val="20"/>
    </w:rPr>
  </w:style>
  <w:style w:type="paragraph" w:styleId="Rvision">
    <w:name w:val="Revision"/>
    <w:hidden/>
    <w:uiPriority w:val="99"/>
    <w:semiHidden/>
    <w:rsid w:val="00FC7E71"/>
    <w:rPr>
      <w:rFonts w:ascii="CG Times" w:hAnsi="CG Times"/>
      <w:sz w:val="24"/>
      <w:szCs w:val="24"/>
    </w:rPr>
  </w:style>
  <w:style w:type="table" w:styleId="Grilledutableau">
    <w:name w:val="Table Grid"/>
    <w:basedOn w:val="TableauNormal"/>
    <w:uiPriority w:val="99"/>
    <w:locked/>
    <w:rsid w:val="007C6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4935E7"/>
    <w:pPr>
      <w:ind w:left="708"/>
    </w:pPr>
    <w:rPr>
      <w:rFonts w:ascii="Times New Roman" w:hAnsi="Times New Roman"/>
    </w:rPr>
  </w:style>
  <w:style w:type="paragraph" w:styleId="Notedebasdepage">
    <w:name w:val="footnote text"/>
    <w:basedOn w:val="Normal"/>
    <w:link w:val="NotedebasdepageCar"/>
    <w:uiPriority w:val="99"/>
    <w:semiHidden/>
    <w:unhideWhenUsed/>
    <w:rsid w:val="004935E7"/>
    <w:rPr>
      <w:rFonts w:ascii="Times New Roman" w:hAnsi="Times New Roman"/>
      <w:sz w:val="20"/>
      <w:szCs w:val="20"/>
    </w:rPr>
  </w:style>
  <w:style w:type="character" w:customStyle="1" w:styleId="NotedebasdepageCar">
    <w:name w:val="Note de bas de page Car"/>
    <w:basedOn w:val="Policepardfaut"/>
    <w:link w:val="Notedebasdepage"/>
    <w:uiPriority w:val="99"/>
    <w:semiHidden/>
    <w:rsid w:val="004935E7"/>
  </w:style>
  <w:style w:type="character" w:styleId="Appelnotedebasdep">
    <w:name w:val="footnote reference"/>
    <w:semiHidden/>
    <w:rsid w:val="004935E7"/>
    <w:rPr>
      <w:vertAlign w:val="superscript"/>
    </w:rPr>
  </w:style>
  <w:style w:type="paragraph" w:styleId="Textebrut">
    <w:name w:val="Plain Text"/>
    <w:basedOn w:val="Normal"/>
    <w:link w:val="TextebrutCar"/>
    <w:uiPriority w:val="99"/>
    <w:unhideWhenUsed/>
    <w:rsid w:val="006D34F3"/>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6D34F3"/>
    <w:rPr>
      <w:rFonts w:ascii="Calibri" w:eastAsia="Calibri" w:hAnsi="Calibri" w:cs="Calibri"/>
      <w:sz w:val="22"/>
      <w:szCs w:val="22"/>
      <w:lang w:eastAsia="en-US"/>
    </w:rPr>
  </w:style>
  <w:style w:type="character" w:customStyle="1" w:styleId="Titre2Car">
    <w:name w:val="Titre 2 Car"/>
    <w:basedOn w:val="Policepardfaut"/>
    <w:link w:val="Titre2"/>
    <w:semiHidden/>
    <w:rsid w:val="0024596A"/>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semiHidden/>
    <w:rsid w:val="0024596A"/>
    <w:rPr>
      <w:rFonts w:asciiTheme="majorHAnsi" w:eastAsiaTheme="majorEastAsia" w:hAnsiTheme="majorHAnsi" w:cstheme="majorBidi"/>
      <w:color w:val="243F60" w:themeColor="accent1" w:themeShade="7F"/>
      <w:sz w:val="24"/>
      <w:szCs w:val="24"/>
    </w:rPr>
  </w:style>
  <w:style w:type="paragraph" w:styleId="TM2">
    <w:name w:val="toc 2"/>
    <w:basedOn w:val="Normal"/>
    <w:next w:val="Normal"/>
    <w:autoRedefine/>
    <w:uiPriority w:val="39"/>
    <w:locked/>
    <w:rsid w:val="004F5283"/>
    <w:pPr>
      <w:spacing w:before="120"/>
      <w:ind w:left="240"/>
    </w:pPr>
    <w:rPr>
      <w:rFonts w:asciiTheme="minorHAnsi" w:hAnsiTheme="minorHAnsi" w:cstheme="minorHAnsi"/>
      <w:i/>
      <w:iCs/>
      <w:sz w:val="20"/>
      <w:szCs w:val="20"/>
    </w:rPr>
  </w:style>
  <w:style w:type="table" w:styleId="TableauGrille4-Accentuation6">
    <w:name w:val="Grid Table 4 Accent 6"/>
    <w:basedOn w:val="TableauNormal"/>
    <w:uiPriority w:val="49"/>
    <w:rsid w:val="00D87B2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unhideWhenUsed/>
    <w:rsid w:val="00F44163"/>
    <w:pPr>
      <w:spacing w:before="100" w:beforeAutospacing="1" w:after="100" w:afterAutospacing="1"/>
    </w:pPr>
    <w:rPr>
      <w:rFonts w:ascii="Times New Roman" w:hAnsi="Times New Roman"/>
    </w:rPr>
  </w:style>
  <w:style w:type="character" w:styleId="Textedelespacerserv">
    <w:name w:val="Placeholder Text"/>
    <w:basedOn w:val="Policepardfaut"/>
    <w:uiPriority w:val="99"/>
    <w:semiHidden/>
    <w:rsid w:val="00080653"/>
    <w:rPr>
      <w:color w:val="808080"/>
    </w:rPr>
  </w:style>
  <w:style w:type="character" w:customStyle="1" w:styleId="Style1">
    <w:name w:val="Style1"/>
    <w:basedOn w:val="Policepardfaut"/>
    <w:uiPriority w:val="1"/>
    <w:rsid w:val="00080653"/>
    <w:rPr>
      <w:rFonts w:ascii="Arial" w:hAnsi="Arial"/>
      <w:b/>
      <w:sz w:val="24"/>
    </w:rPr>
  </w:style>
  <w:style w:type="character" w:customStyle="1" w:styleId="Style2">
    <w:name w:val="Style2"/>
    <w:basedOn w:val="Policepardfaut"/>
    <w:uiPriority w:val="1"/>
    <w:rsid w:val="00080653"/>
    <w:rPr>
      <w:rFonts w:ascii="Arial" w:hAnsi="Arial"/>
      <w:b/>
      <w:sz w:val="24"/>
    </w:rPr>
  </w:style>
  <w:style w:type="character" w:customStyle="1" w:styleId="Style3">
    <w:name w:val="Style3"/>
    <w:basedOn w:val="Policepardfaut"/>
    <w:uiPriority w:val="1"/>
    <w:rsid w:val="006F3A1B"/>
    <w:rPr>
      <w:rFonts w:ascii="Arial" w:hAnsi="Arial"/>
      <w:sz w:val="36"/>
    </w:rPr>
  </w:style>
  <w:style w:type="character" w:customStyle="1" w:styleId="Style4">
    <w:name w:val="Style4"/>
    <w:basedOn w:val="Policepardfaut"/>
    <w:uiPriority w:val="1"/>
    <w:rsid w:val="000A64B3"/>
    <w:rPr>
      <w:rFonts w:ascii="Arial" w:hAnsi="Arial"/>
      <w:sz w:val="22"/>
    </w:rPr>
  </w:style>
  <w:style w:type="character" w:styleId="Accentuation">
    <w:name w:val="Emphasis"/>
    <w:basedOn w:val="Policepardfaut"/>
    <w:qFormat/>
    <w:locked/>
    <w:rsid w:val="0032765F"/>
    <w:rPr>
      <w:i/>
      <w:iCs/>
    </w:rPr>
  </w:style>
  <w:style w:type="paragraph" w:customStyle="1" w:styleId="Normal2">
    <w:name w:val="Normal2"/>
    <w:basedOn w:val="Normal"/>
    <w:rsid w:val="0032765F"/>
    <w:pPr>
      <w:keepLines/>
      <w:jc w:val="both"/>
    </w:pPr>
    <w:rPr>
      <w:rFonts w:ascii="Arial" w:hAnsi="Arial"/>
      <w:sz w:val="20"/>
      <w:szCs w:val="20"/>
    </w:rPr>
  </w:style>
  <w:style w:type="paragraph" w:customStyle="1" w:styleId="Default">
    <w:name w:val="Default"/>
    <w:rsid w:val="00FC7DD1"/>
    <w:pPr>
      <w:autoSpaceDE w:val="0"/>
      <w:autoSpaceDN w:val="0"/>
      <w:adjustRightInd w:val="0"/>
    </w:pPr>
    <w:rPr>
      <w:rFonts w:ascii="Arial" w:hAnsi="Arial" w:cs="Arial"/>
      <w:color w:val="000000"/>
      <w:sz w:val="24"/>
      <w:szCs w:val="24"/>
    </w:rPr>
  </w:style>
  <w:style w:type="character" w:customStyle="1" w:styleId="Style5">
    <w:name w:val="Style5"/>
    <w:basedOn w:val="Policepardfaut"/>
    <w:uiPriority w:val="1"/>
    <w:rsid w:val="00F40F6B"/>
    <w:rPr>
      <w:rFonts w:ascii="Arial" w:hAnsi="Arial"/>
      <w:i/>
      <w:sz w:val="22"/>
    </w:rPr>
  </w:style>
  <w:style w:type="paragraph" w:styleId="TM1">
    <w:name w:val="toc 1"/>
    <w:basedOn w:val="Normal"/>
    <w:next w:val="Normal"/>
    <w:autoRedefine/>
    <w:uiPriority w:val="39"/>
    <w:locked/>
    <w:rsid w:val="00A534BD"/>
    <w:pPr>
      <w:spacing w:before="240" w:after="120"/>
    </w:pPr>
    <w:rPr>
      <w:rFonts w:asciiTheme="minorHAnsi" w:hAnsiTheme="minorHAnsi" w:cstheme="minorHAnsi"/>
      <w:b/>
      <w:bCs/>
      <w:sz w:val="20"/>
      <w:szCs w:val="20"/>
    </w:rPr>
  </w:style>
  <w:style w:type="paragraph" w:styleId="En-ttedetabledesmatires">
    <w:name w:val="TOC Heading"/>
    <w:basedOn w:val="Titre1"/>
    <w:next w:val="Normal"/>
    <w:uiPriority w:val="39"/>
    <w:unhideWhenUsed/>
    <w:qFormat/>
    <w:rsid w:val="00A534BD"/>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character" w:styleId="Lienhypertexte">
    <w:name w:val="Hyperlink"/>
    <w:basedOn w:val="Policepardfaut"/>
    <w:uiPriority w:val="99"/>
    <w:unhideWhenUsed/>
    <w:rsid w:val="00A534BD"/>
    <w:rPr>
      <w:color w:val="0000FF" w:themeColor="hyperlink"/>
      <w:u w:val="single"/>
    </w:rPr>
  </w:style>
  <w:style w:type="paragraph" w:styleId="TM3">
    <w:name w:val="toc 3"/>
    <w:basedOn w:val="Normal"/>
    <w:next w:val="Normal"/>
    <w:autoRedefine/>
    <w:locked/>
    <w:rsid w:val="00A534BD"/>
    <w:pPr>
      <w:ind w:left="480"/>
    </w:pPr>
    <w:rPr>
      <w:rFonts w:asciiTheme="minorHAnsi" w:hAnsiTheme="minorHAnsi" w:cstheme="minorHAnsi"/>
      <w:sz w:val="20"/>
      <w:szCs w:val="20"/>
    </w:rPr>
  </w:style>
  <w:style w:type="paragraph" w:styleId="TM4">
    <w:name w:val="toc 4"/>
    <w:basedOn w:val="Normal"/>
    <w:next w:val="Normal"/>
    <w:autoRedefine/>
    <w:locked/>
    <w:rsid w:val="00A534BD"/>
    <w:pPr>
      <w:ind w:left="720"/>
    </w:pPr>
    <w:rPr>
      <w:rFonts w:asciiTheme="minorHAnsi" w:hAnsiTheme="minorHAnsi" w:cstheme="minorHAnsi"/>
      <w:sz w:val="20"/>
      <w:szCs w:val="20"/>
    </w:rPr>
  </w:style>
  <w:style w:type="paragraph" w:styleId="TM5">
    <w:name w:val="toc 5"/>
    <w:basedOn w:val="Normal"/>
    <w:next w:val="Normal"/>
    <w:autoRedefine/>
    <w:locked/>
    <w:rsid w:val="00A534BD"/>
    <w:pPr>
      <w:ind w:left="960"/>
    </w:pPr>
    <w:rPr>
      <w:rFonts w:asciiTheme="minorHAnsi" w:hAnsiTheme="minorHAnsi" w:cstheme="minorHAnsi"/>
      <w:sz w:val="20"/>
      <w:szCs w:val="20"/>
    </w:rPr>
  </w:style>
  <w:style w:type="paragraph" w:styleId="TM6">
    <w:name w:val="toc 6"/>
    <w:basedOn w:val="Normal"/>
    <w:next w:val="Normal"/>
    <w:autoRedefine/>
    <w:locked/>
    <w:rsid w:val="00A534BD"/>
    <w:pPr>
      <w:ind w:left="1200"/>
    </w:pPr>
    <w:rPr>
      <w:rFonts w:asciiTheme="minorHAnsi" w:hAnsiTheme="minorHAnsi" w:cstheme="minorHAnsi"/>
      <w:sz w:val="20"/>
      <w:szCs w:val="20"/>
    </w:rPr>
  </w:style>
  <w:style w:type="paragraph" w:styleId="TM7">
    <w:name w:val="toc 7"/>
    <w:basedOn w:val="Normal"/>
    <w:next w:val="Normal"/>
    <w:autoRedefine/>
    <w:locked/>
    <w:rsid w:val="00A534BD"/>
    <w:pPr>
      <w:ind w:left="1440"/>
    </w:pPr>
    <w:rPr>
      <w:rFonts w:asciiTheme="minorHAnsi" w:hAnsiTheme="minorHAnsi" w:cstheme="minorHAnsi"/>
      <w:sz w:val="20"/>
      <w:szCs w:val="20"/>
    </w:rPr>
  </w:style>
  <w:style w:type="paragraph" w:styleId="TM8">
    <w:name w:val="toc 8"/>
    <w:basedOn w:val="Normal"/>
    <w:next w:val="Normal"/>
    <w:autoRedefine/>
    <w:locked/>
    <w:rsid w:val="00A534BD"/>
    <w:pPr>
      <w:ind w:left="1680"/>
    </w:pPr>
    <w:rPr>
      <w:rFonts w:asciiTheme="minorHAnsi" w:hAnsiTheme="minorHAnsi" w:cstheme="minorHAnsi"/>
      <w:sz w:val="20"/>
      <w:szCs w:val="20"/>
    </w:rPr>
  </w:style>
  <w:style w:type="paragraph" w:styleId="TM9">
    <w:name w:val="toc 9"/>
    <w:basedOn w:val="Normal"/>
    <w:next w:val="Normal"/>
    <w:autoRedefine/>
    <w:locked/>
    <w:rsid w:val="00A534BD"/>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64944">
      <w:bodyDiv w:val="1"/>
      <w:marLeft w:val="0"/>
      <w:marRight w:val="0"/>
      <w:marTop w:val="0"/>
      <w:marBottom w:val="0"/>
      <w:divBdr>
        <w:top w:val="none" w:sz="0" w:space="0" w:color="auto"/>
        <w:left w:val="none" w:sz="0" w:space="0" w:color="auto"/>
        <w:bottom w:val="none" w:sz="0" w:space="0" w:color="auto"/>
        <w:right w:val="none" w:sz="0" w:space="0" w:color="auto"/>
      </w:divBdr>
    </w:div>
    <w:div w:id="229659277">
      <w:bodyDiv w:val="1"/>
      <w:marLeft w:val="0"/>
      <w:marRight w:val="0"/>
      <w:marTop w:val="0"/>
      <w:marBottom w:val="0"/>
      <w:divBdr>
        <w:top w:val="none" w:sz="0" w:space="0" w:color="auto"/>
        <w:left w:val="none" w:sz="0" w:space="0" w:color="auto"/>
        <w:bottom w:val="none" w:sz="0" w:space="0" w:color="auto"/>
        <w:right w:val="none" w:sz="0" w:space="0" w:color="auto"/>
      </w:divBdr>
    </w:div>
    <w:div w:id="294871888">
      <w:bodyDiv w:val="1"/>
      <w:marLeft w:val="0"/>
      <w:marRight w:val="0"/>
      <w:marTop w:val="0"/>
      <w:marBottom w:val="0"/>
      <w:divBdr>
        <w:top w:val="none" w:sz="0" w:space="0" w:color="auto"/>
        <w:left w:val="none" w:sz="0" w:space="0" w:color="auto"/>
        <w:bottom w:val="none" w:sz="0" w:space="0" w:color="auto"/>
        <w:right w:val="none" w:sz="0" w:space="0" w:color="auto"/>
      </w:divBdr>
    </w:div>
    <w:div w:id="297342841">
      <w:bodyDiv w:val="1"/>
      <w:marLeft w:val="0"/>
      <w:marRight w:val="0"/>
      <w:marTop w:val="0"/>
      <w:marBottom w:val="0"/>
      <w:divBdr>
        <w:top w:val="none" w:sz="0" w:space="0" w:color="auto"/>
        <w:left w:val="none" w:sz="0" w:space="0" w:color="auto"/>
        <w:bottom w:val="none" w:sz="0" w:space="0" w:color="auto"/>
        <w:right w:val="none" w:sz="0" w:space="0" w:color="auto"/>
      </w:divBdr>
    </w:div>
    <w:div w:id="347634012">
      <w:bodyDiv w:val="1"/>
      <w:marLeft w:val="0"/>
      <w:marRight w:val="0"/>
      <w:marTop w:val="0"/>
      <w:marBottom w:val="0"/>
      <w:divBdr>
        <w:top w:val="none" w:sz="0" w:space="0" w:color="auto"/>
        <w:left w:val="none" w:sz="0" w:space="0" w:color="auto"/>
        <w:bottom w:val="none" w:sz="0" w:space="0" w:color="auto"/>
        <w:right w:val="none" w:sz="0" w:space="0" w:color="auto"/>
      </w:divBdr>
    </w:div>
    <w:div w:id="603150489">
      <w:bodyDiv w:val="1"/>
      <w:marLeft w:val="0"/>
      <w:marRight w:val="0"/>
      <w:marTop w:val="0"/>
      <w:marBottom w:val="0"/>
      <w:divBdr>
        <w:top w:val="none" w:sz="0" w:space="0" w:color="auto"/>
        <w:left w:val="none" w:sz="0" w:space="0" w:color="auto"/>
        <w:bottom w:val="none" w:sz="0" w:space="0" w:color="auto"/>
        <w:right w:val="none" w:sz="0" w:space="0" w:color="auto"/>
      </w:divBdr>
    </w:div>
    <w:div w:id="621108057">
      <w:bodyDiv w:val="1"/>
      <w:marLeft w:val="0"/>
      <w:marRight w:val="0"/>
      <w:marTop w:val="0"/>
      <w:marBottom w:val="0"/>
      <w:divBdr>
        <w:top w:val="none" w:sz="0" w:space="0" w:color="auto"/>
        <w:left w:val="none" w:sz="0" w:space="0" w:color="auto"/>
        <w:bottom w:val="none" w:sz="0" w:space="0" w:color="auto"/>
        <w:right w:val="none" w:sz="0" w:space="0" w:color="auto"/>
      </w:divBdr>
    </w:div>
    <w:div w:id="753622074">
      <w:bodyDiv w:val="1"/>
      <w:marLeft w:val="0"/>
      <w:marRight w:val="0"/>
      <w:marTop w:val="0"/>
      <w:marBottom w:val="0"/>
      <w:divBdr>
        <w:top w:val="none" w:sz="0" w:space="0" w:color="auto"/>
        <w:left w:val="none" w:sz="0" w:space="0" w:color="auto"/>
        <w:bottom w:val="none" w:sz="0" w:space="0" w:color="auto"/>
        <w:right w:val="none" w:sz="0" w:space="0" w:color="auto"/>
      </w:divBdr>
    </w:div>
    <w:div w:id="1369447787">
      <w:bodyDiv w:val="1"/>
      <w:marLeft w:val="0"/>
      <w:marRight w:val="0"/>
      <w:marTop w:val="0"/>
      <w:marBottom w:val="0"/>
      <w:divBdr>
        <w:top w:val="none" w:sz="0" w:space="0" w:color="auto"/>
        <w:left w:val="none" w:sz="0" w:space="0" w:color="auto"/>
        <w:bottom w:val="none" w:sz="0" w:space="0" w:color="auto"/>
        <w:right w:val="none" w:sz="0" w:space="0" w:color="auto"/>
      </w:divBdr>
    </w:div>
    <w:div w:id="1372919115">
      <w:bodyDiv w:val="1"/>
      <w:marLeft w:val="0"/>
      <w:marRight w:val="0"/>
      <w:marTop w:val="0"/>
      <w:marBottom w:val="0"/>
      <w:divBdr>
        <w:top w:val="none" w:sz="0" w:space="0" w:color="auto"/>
        <w:left w:val="none" w:sz="0" w:space="0" w:color="auto"/>
        <w:bottom w:val="none" w:sz="0" w:space="0" w:color="auto"/>
        <w:right w:val="none" w:sz="0" w:space="0" w:color="auto"/>
      </w:divBdr>
    </w:div>
    <w:div w:id="1499491877">
      <w:bodyDiv w:val="1"/>
      <w:marLeft w:val="0"/>
      <w:marRight w:val="0"/>
      <w:marTop w:val="0"/>
      <w:marBottom w:val="0"/>
      <w:divBdr>
        <w:top w:val="none" w:sz="0" w:space="0" w:color="auto"/>
        <w:left w:val="none" w:sz="0" w:space="0" w:color="auto"/>
        <w:bottom w:val="none" w:sz="0" w:space="0" w:color="auto"/>
        <w:right w:val="none" w:sz="0" w:space="0" w:color="auto"/>
      </w:divBdr>
    </w:div>
    <w:div w:id="1508521374">
      <w:bodyDiv w:val="1"/>
      <w:marLeft w:val="0"/>
      <w:marRight w:val="0"/>
      <w:marTop w:val="0"/>
      <w:marBottom w:val="0"/>
      <w:divBdr>
        <w:top w:val="none" w:sz="0" w:space="0" w:color="auto"/>
        <w:left w:val="none" w:sz="0" w:space="0" w:color="auto"/>
        <w:bottom w:val="none" w:sz="0" w:space="0" w:color="auto"/>
        <w:right w:val="none" w:sz="0" w:space="0" w:color="auto"/>
      </w:divBdr>
    </w:div>
    <w:div w:id="1568881528">
      <w:bodyDiv w:val="1"/>
      <w:marLeft w:val="0"/>
      <w:marRight w:val="0"/>
      <w:marTop w:val="0"/>
      <w:marBottom w:val="0"/>
      <w:divBdr>
        <w:top w:val="none" w:sz="0" w:space="0" w:color="auto"/>
        <w:left w:val="none" w:sz="0" w:space="0" w:color="auto"/>
        <w:bottom w:val="none" w:sz="0" w:space="0" w:color="auto"/>
        <w:right w:val="none" w:sz="0" w:space="0" w:color="auto"/>
      </w:divBdr>
    </w:div>
    <w:div w:id="1644889215">
      <w:bodyDiv w:val="1"/>
      <w:marLeft w:val="0"/>
      <w:marRight w:val="0"/>
      <w:marTop w:val="0"/>
      <w:marBottom w:val="0"/>
      <w:divBdr>
        <w:top w:val="none" w:sz="0" w:space="0" w:color="auto"/>
        <w:left w:val="none" w:sz="0" w:space="0" w:color="auto"/>
        <w:bottom w:val="none" w:sz="0" w:space="0" w:color="auto"/>
        <w:right w:val="none" w:sz="0" w:space="0" w:color="auto"/>
      </w:divBdr>
    </w:div>
    <w:div w:id="191327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A3AD9688E148FEBA022599436146E1"/>
        <w:category>
          <w:name w:val="Général"/>
          <w:gallery w:val="placeholder"/>
        </w:category>
        <w:types>
          <w:type w:val="bbPlcHdr"/>
        </w:types>
        <w:behaviors>
          <w:behavior w:val="content"/>
        </w:behaviors>
        <w:guid w:val="{613A612F-DC1A-4D9B-A047-1F7F2B7990B5}"/>
      </w:docPartPr>
      <w:docPartBody>
        <w:p w:rsidR="002A5D9B" w:rsidRDefault="00176E8C" w:rsidP="00176E8C">
          <w:pPr>
            <w:pStyle w:val="A5A3AD9688E148FEBA022599436146E1"/>
          </w:pPr>
          <w:r w:rsidRPr="000413AE">
            <w:rPr>
              <w:rStyle w:val="Textedelespacerserv"/>
            </w:rPr>
            <w:t>Choisissez un élément.</w:t>
          </w:r>
        </w:p>
      </w:docPartBody>
    </w:docPart>
    <w:docPart>
      <w:docPartPr>
        <w:name w:val="1C995A61B00F460098181BEC74231618"/>
        <w:category>
          <w:name w:val="Général"/>
          <w:gallery w:val="placeholder"/>
        </w:category>
        <w:types>
          <w:type w:val="bbPlcHdr"/>
        </w:types>
        <w:behaviors>
          <w:behavior w:val="content"/>
        </w:behaviors>
        <w:guid w:val="{C05174F1-3339-44E7-90BC-B0E68B08D52C}"/>
      </w:docPartPr>
      <w:docPartBody>
        <w:p w:rsidR="009A759F" w:rsidRDefault="009A759F" w:rsidP="009A759F">
          <w:pPr>
            <w:pStyle w:val="1C995A61B00F460098181BEC74231618"/>
          </w:pPr>
          <w:r>
            <w:rPr>
              <w:rStyle w:val="Textedelespacerserv"/>
              <w:highlight w:val="green"/>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E8C"/>
    <w:rsid w:val="0017176E"/>
    <w:rsid w:val="00176E8C"/>
    <w:rsid w:val="001F77E3"/>
    <w:rsid w:val="00231060"/>
    <w:rsid w:val="00241BD6"/>
    <w:rsid w:val="00252484"/>
    <w:rsid w:val="002A5D9B"/>
    <w:rsid w:val="00330432"/>
    <w:rsid w:val="003831F2"/>
    <w:rsid w:val="00517882"/>
    <w:rsid w:val="005B1DEF"/>
    <w:rsid w:val="00600040"/>
    <w:rsid w:val="00670093"/>
    <w:rsid w:val="00674C10"/>
    <w:rsid w:val="008C267D"/>
    <w:rsid w:val="008D5D07"/>
    <w:rsid w:val="00967907"/>
    <w:rsid w:val="009A759F"/>
    <w:rsid w:val="00A1393D"/>
    <w:rsid w:val="00B27E4A"/>
    <w:rsid w:val="00B3022C"/>
    <w:rsid w:val="00B73395"/>
    <w:rsid w:val="00CB171A"/>
    <w:rsid w:val="00F33748"/>
    <w:rsid w:val="00F97878"/>
    <w:rsid w:val="00FA2B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A759F"/>
  </w:style>
  <w:style w:type="paragraph" w:customStyle="1" w:styleId="A5A3AD9688E148FEBA022599436146E1">
    <w:name w:val="A5A3AD9688E148FEBA022599436146E1"/>
    <w:rsid w:val="00176E8C"/>
    <w:pPr>
      <w:spacing w:after="0" w:line="240" w:lineRule="auto"/>
    </w:pPr>
    <w:rPr>
      <w:rFonts w:ascii="CG Times" w:eastAsia="Times New Roman" w:hAnsi="CG Times" w:cs="Times New Roman"/>
      <w:sz w:val="24"/>
      <w:szCs w:val="24"/>
    </w:rPr>
  </w:style>
  <w:style w:type="paragraph" w:customStyle="1" w:styleId="1C995A61B00F460098181BEC74231618">
    <w:name w:val="1C995A61B00F460098181BEC74231618"/>
    <w:rsid w:val="009A759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CB87F8-D39D-49D2-89F0-5E5FB6C72651}">
  <ds:schemaRefs>
    <ds:schemaRef ds:uri="http://schemas.openxmlformats.org/officeDocument/2006/bibliography"/>
  </ds:schemaRefs>
</ds:datastoreItem>
</file>

<file path=customXml/itemProps2.xml><?xml version="1.0" encoding="utf-8"?>
<ds:datastoreItem xmlns:ds="http://schemas.openxmlformats.org/officeDocument/2006/customXml" ds:itemID="{5E7CE936-3D8F-4F88-84F0-2AFCF623EAB9}">
  <ds:schemaRefs>
    <ds:schemaRef ds:uri="http://schemas.microsoft.com/sharepoint/v3/contenttype/forms"/>
  </ds:schemaRefs>
</ds:datastoreItem>
</file>

<file path=customXml/itemProps3.xml><?xml version="1.0" encoding="utf-8"?>
<ds:datastoreItem xmlns:ds="http://schemas.openxmlformats.org/officeDocument/2006/customXml" ds:itemID="{474D4B90-4ADE-420B-9540-EAD3BC983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CB55BC-B817-40D6-889A-1D48BB770D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1866</Words>
  <Characters>11386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ANNEXE N°4 AU CCP « INSTRUMENTATION SCIENTIFIQUE »</vt:lpstr>
    </vt:vector>
  </TitlesOfParts>
  <Company>cnrs</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N°4 AU CCP « INSTRUMENTATION SCIENTIFIQUE »</dc:title>
  <dc:subject/>
  <dc:creator>BODEREAU Hélène</dc:creator>
  <cp:keywords/>
  <dc:description/>
  <cp:lastModifiedBy>Magali SANNA</cp:lastModifiedBy>
  <cp:revision>3</cp:revision>
  <cp:lastPrinted>2008-02-13T09:17:00Z</cp:lastPrinted>
  <dcterms:created xsi:type="dcterms:W3CDTF">2025-07-02T06:36:00Z</dcterms:created>
  <dcterms:modified xsi:type="dcterms:W3CDTF">2025-07-02T07:35:00Z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